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ТЕМА: ИНФОРМАЦИОННО-ПОИСКОВЫЕ СИСТЕМЫ</w:t>
      </w:r>
    </w:p>
    <w:p w:rsidR="009A2572" w:rsidRPr="009A2572" w:rsidRDefault="009A2572" w:rsidP="009A25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1. Основные понятия</w:t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2. Состав и структура описания музейного предмета</w:t>
      </w:r>
    </w:p>
    <w:p w:rsidR="009A2572" w:rsidRPr="009A2572" w:rsidRDefault="009A2572" w:rsidP="009A257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3. Стандарты описания и классификации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A2572" w:rsidRPr="009A2572" w:rsidRDefault="009A2572" w:rsidP="009A2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Лебедев Л.Я. Информационные технологии в музейном деле // Основы музееведения: Учебное пособие. М., 2005.</w:t>
      </w:r>
    </w:p>
    <w:p w:rsidR="009A2572" w:rsidRPr="009A2572" w:rsidRDefault="009A2572" w:rsidP="009A2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Мееров К.А., Кузьмина Е.С. К вопросу об унификации иконографического изображения в ИПС. Электронные библиотеки, 2001, т. 4, вып. 2. </w:t>
      </w:r>
    </w:p>
    <w:p w:rsidR="009A2572" w:rsidRPr="009A2572" w:rsidRDefault="009A2572" w:rsidP="009A2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Ноль Л.Я. Информационные технологии в деятельности музея. М., 2007. </w:t>
      </w:r>
    </w:p>
    <w:p w:rsidR="009A2572" w:rsidRPr="009A2572" w:rsidRDefault="009A2572" w:rsidP="009A25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Перцев Д.Г Компьютер в музее и музей в компьютере. М – Милан, 1996. 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1.</w:t>
      </w:r>
      <w:r w:rsidRPr="009A2572">
        <w:rPr>
          <w:rFonts w:ascii="Times New Roman" w:hAnsi="Times New Roman" w:cs="Times New Roman"/>
          <w:sz w:val="28"/>
          <w:szCs w:val="28"/>
        </w:rPr>
        <w:t xml:space="preserve"> Процесс поиска данных осуществляется с помощью информационно-поисковой системы ИПС. Под ИПС будем понимать автоматизированную поисковую систему, реализованную на средствах электронной вычислительной техники и предназначенную для поиска, а также выдачи пользователю необходимой информации по заданным параметрам.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ab/>
        <w:t>В зависимости от вида получения выходных данных ИПС делятся на документальные, где результат поиска выдается в виде документа или ссылки на документ), фактографические (результат поиска – конкретные сведения, например, имя художника, или даты его жизни или др.) и докуметально-фактографические, когда два эти вида интегрированы; в последние годы именно этот класс систем  приобрел популярность.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 основе работы ИПС лежит информационно-поисковый язык ИПЯ; это специализированный искусственный язык, предназначенный для: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 xml:space="preserve">формализованного описания тех объектов, сведения о которых представляют интерес для пользователя (музейные предметы, авторы, коллекционеры, выставки и др.). 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•</w:t>
      </w:r>
      <w:r w:rsidRPr="009A2572">
        <w:rPr>
          <w:rFonts w:ascii="Times New Roman" w:hAnsi="Times New Roman" w:cs="Times New Roman"/>
          <w:sz w:val="28"/>
          <w:szCs w:val="28"/>
        </w:rPr>
        <w:tab/>
        <w:t>формализованного выражения содержания информационных запросов при обращении к информационно-поисковой системе ИПС.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ab/>
        <w:t>Ответ, основное содержание которого соответствует по принятым в ИПС критериям информационному запросу, называется релевантным, ответ соответствующий информационной потребности пользователя – пертитнентным. Оценку релевантности при работе ИПЯ производят по показателям полноты и точности выдачи информации, потери информации и информационного шума.</w:t>
      </w:r>
    </w:p>
    <w:p w:rsidR="009A2572" w:rsidRPr="009A2572" w:rsidRDefault="009A2572" w:rsidP="009A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lastRenderedPageBreak/>
        <w:tab/>
        <w:t>В зависимости от поставленной задачи в АИС могут быть использованы ИПЯ различных типов: классификационные, дескрипторные, фасетные, объектно-признаковые. Например, в Интернете в качестве ИПЯ широко используется «язык ключевых слов», представляющий собой совокупность ненормированных лексических единиц из заглавий, рефератов и полного текста документов.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Исследования и многолетний практический опыт показали, что для работы с музейными коллекциями наиболее подходящим является ИПЯ объектно-признакового типа.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2.</w:t>
      </w:r>
      <w:r w:rsidRPr="009A2572">
        <w:rPr>
          <w:rFonts w:ascii="Times New Roman" w:hAnsi="Times New Roman" w:cs="Times New Roman"/>
          <w:sz w:val="28"/>
          <w:szCs w:val="28"/>
        </w:rPr>
        <w:t xml:space="preserve"> Как уже говорилось, основное содержание текстовых БД составляют описания музейных предметов, информация о лицах и событиях,  связанных с этими предметами,  сведения о выставочной деятельности, а также и другие данные справочного и или нормативного характера.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Анализ существующих описаний музейных предметов позволяет выделить в их структуре две части, которые условно можно назвать "учетной" и "научной". Такое деление не только является отражением функциональных  особенностей  работы  с описаниями памятников истории и культуры (каковыми являются и музейные предметы), но и определяется тем фактом, что учетная  часть в большей степени универсальна и лучше  поддается формальному описанию.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Большинство специалистов считают автоматизацию учета первоочередной,  приоритетной задачей, как по времени ее решения, так и по значению. Именно ввод в БД учетных данных  позволит  получить необходимый минимум информации о состоянии фондов по тому или иному разделу,  отработать основные технологические  решения. Поэтому первым шагом к созданию БД о музейных предметах как правило бывает создание унифицированной структуры учетного описания музейного предмета, т.е. выделение множества признаков, которые описывали бы предмет с полнотой и точностью, соответствующими  требованиям учета коллекций в музее.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Научная часть описаний характеризуется меньшей универсальностью,  значительно слабее структурирована  и  труднее поддается формализации.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Требования к структуре специального научного описания в существеннейшей степени зависят от прагматических задач, которые ставит перед собой исследователь, от специфики тематической области и от целого ряда других причин. Разработка этой структуры  в наибольшей степени требует участия специалистов в соответствующих тематических областях: архитекторов, историков,  искусствоведов и др. При этом возникает весьма сложная система описания; так, в эксперименте по созданию научного описания сасанидских монет потребовалось более 100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 xml:space="preserve">специфических признаков . Естественно, что трудоемкость такого описания резко возрастает, для проведения этих работ как на этапе разработки структуры описания, так и при подготовке самих описаний  необходимы специалисты очень высокой квалификации.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Сегодня вряд ли существует универсальный подход к структурированию научного описания музейного предмета. Выбор метода  (конвенциональный,  нормативный,  с  применением экспертных систем либо какой-либо другой) зависит от конкретной ситуации и предметной области.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b/>
          <w:sz w:val="28"/>
          <w:szCs w:val="28"/>
        </w:rPr>
        <w:t>3.</w:t>
      </w:r>
      <w:r w:rsidRPr="009A2572">
        <w:rPr>
          <w:rFonts w:ascii="Times New Roman" w:hAnsi="Times New Roman" w:cs="Times New Roman"/>
          <w:sz w:val="28"/>
          <w:szCs w:val="28"/>
        </w:rPr>
        <w:t xml:space="preserve"> Проблеме стандартизации структуры описания музейных предметов, и в первую очередь – учетной части, уделяется серьезнейшее внимание специалистами всего мира, так как ее решение является необходимым условием для создания музейной сети, которая позволила бы музеям осуществлять поиск необходимых данных и взаимный обмен данными. Именно поэтому специалисты, занимающиеся разработкой компьютерных информационных систем для музеев, первостепенное значение придают определению минимального набора данных, необходимых для создания “информационного ядра” описания предмета.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Еще в середине 1970-х Robert G. Chenhall (США) и Peter Homulus (Канада) впервые представили на обсуждение CIDOC проект стандарта описания музейного предмета на основе 16 информационных категорий.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Работа по совершенствованию и углублению исходного документа велась как в рамках CIDOC, так и организациями отдельных странах (особенно активно Ассоциацией по музейной документации Великобритании MDA). В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1994 </w:t>
      </w:r>
      <w:r w:rsidRPr="009A2572">
        <w:rPr>
          <w:rFonts w:ascii="Times New Roman" w:hAnsi="Times New Roman" w:cs="Times New Roman"/>
          <w:sz w:val="28"/>
          <w:szCs w:val="28"/>
        </w:rPr>
        <w:t>году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CIDOC </w:t>
      </w:r>
      <w:r w:rsidRPr="009A2572">
        <w:rPr>
          <w:rFonts w:ascii="Times New Roman" w:hAnsi="Times New Roman" w:cs="Times New Roman"/>
          <w:sz w:val="28"/>
          <w:szCs w:val="28"/>
        </w:rPr>
        <w:t>подготовил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и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опубликовал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A2572">
        <w:rPr>
          <w:rFonts w:ascii="Times New Roman" w:hAnsi="Times New Roman" w:cs="Times New Roman"/>
          <w:sz w:val="28"/>
          <w:szCs w:val="28"/>
        </w:rPr>
        <w:t>документ</w:t>
      </w:r>
      <w:r w:rsidRPr="009A2572">
        <w:rPr>
          <w:rFonts w:ascii="Times New Roman" w:hAnsi="Times New Roman" w:cs="Times New Roman"/>
          <w:sz w:val="28"/>
          <w:szCs w:val="28"/>
          <w:lang w:val="en-US"/>
        </w:rPr>
        <w:t xml:space="preserve"> “MICMO. Minimum information categories for museum objects: proposed guidelines for an international standard”. </w:t>
      </w:r>
      <w:r w:rsidRPr="009A2572">
        <w:rPr>
          <w:rFonts w:ascii="Times New Roman" w:hAnsi="Times New Roman" w:cs="Times New Roman"/>
          <w:sz w:val="28"/>
          <w:szCs w:val="28"/>
        </w:rPr>
        <w:t xml:space="preserve">Этот документ следует рассматривать скорее как руководство по описанию музейного предмета, а не как официальный стандарт, и должен в этом качестве служить делу достижения консенсуса в музейном сообществе.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На основе MICMO были разработаны стандарты (точнее – инструкции, руководства и рекомендации) в различных странах.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Однозначности толкования лексики ИПЯ  при описании музейных коллекций не удается добиться даже в рамках одного языка (не говоря уж о многоязычии), поэтому проблема терминологического и классификационного единства является одной из наиболее сложных и противоречивых, и над ее решением работают специалисты во всем мире. Сложности, возникающие при попытке создать единую терминологию при выработке лексического состава ИПЯ, объясняются неоднозначностью понимания разными специалистами терминов, используемых в музейной практике.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 xml:space="preserve">Для того, чтобы преодолеть терминологические и классификационные трудности  за рубежом разрабатываются проекты </w:t>
      </w:r>
      <w:r w:rsidRPr="009A2572">
        <w:rPr>
          <w:rFonts w:ascii="Times New Roman" w:hAnsi="Times New Roman" w:cs="Times New Roman"/>
          <w:sz w:val="28"/>
          <w:szCs w:val="28"/>
        </w:rPr>
        <w:lastRenderedPageBreak/>
        <w:t xml:space="preserve">терминологических словарей и словарей-тезаурусов. Эти словари-тезаурусы стали использоваться в музейных системах зарубежных стран, в том числе и в системах, созданных в рамках международных проектов стран ЕС. Например, система, занимающаяся изучением восточно-христианского искусства на компьютерной основе CODART-SYSTEM, использует тезаурус "Iconoclatura". 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С 1993 года во Франции работает  информационно-поисковая система описания и представления изображений в области живописи "NARCISSE (Net Art Research Computer Image Systems in Europe)". Позднее эта система стала использоваться для других видов изобразительного и прикладного видов искусства. В этой системе был применен стандарт  описания музейного предмета с  использованием многоязычных (15 языков) словарей-тезаурусов. Позитивные результаты, полученные в этом проекте, позволили перейти к решению более сложных задач, которые решаются в рамках проекта EROS , где используется в том числе и русскоязычная версия тезауруса; в работе над этими проектами  активное участие принимает Государственный Исторический Музей.</w:t>
      </w:r>
    </w:p>
    <w:p w:rsidR="009A2572" w:rsidRPr="009A2572" w:rsidRDefault="009A2572" w:rsidP="009A25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572">
        <w:rPr>
          <w:rFonts w:ascii="Times New Roman" w:hAnsi="Times New Roman" w:cs="Times New Roman"/>
          <w:sz w:val="28"/>
          <w:szCs w:val="28"/>
        </w:rPr>
        <w:t>В связи с развитием сети Интернет наметилась тенденция объединения ведущих специалистов в междисциплинарные рабочие группы для выработки общегосударственных  подходов к решению проблемы широкого доступа к культурному наследию.</w:t>
      </w:r>
      <w:bookmarkStart w:id="0" w:name="_GoBack"/>
      <w:bookmarkEnd w:id="0"/>
    </w:p>
    <w:sectPr w:rsidR="009A2572" w:rsidRPr="009A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2FED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EB4916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95BA7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C36C8F"/>
    <w:multiLevelType w:val="hybridMultilevel"/>
    <w:tmpl w:val="39A49892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F675AA0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E41F0B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106A21"/>
    <w:multiLevelType w:val="hybridMultilevel"/>
    <w:tmpl w:val="E074666E"/>
    <w:lvl w:ilvl="0" w:tplc="93FA84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5" w:hanging="360"/>
      </w:pPr>
    </w:lvl>
    <w:lvl w:ilvl="2" w:tplc="0423001B" w:tentative="1">
      <w:start w:val="1"/>
      <w:numFmt w:val="lowerRoman"/>
      <w:lvlText w:val="%3."/>
      <w:lvlJc w:val="right"/>
      <w:pPr>
        <w:ind w:left="2505" w:hanging="180"/>
      </w:pPr>
    </w:lvl>
    <w:lvl w:ilvl="3" w:tplc="0423000F" w:tentative="1">
      <w:start w:val="1"/>
      <w:numFmt w:val="decimal"/>
      <w:lvlText w:val="%4."/>
      <w:lvlJc w:val="left"/>
      <w:pPr>
        <w:ind w:left="3225" w:hanging="360"/>
      </w:pPr>
    </w:lvl>
    <w:lvl w:ilvl="4" w:tplc="04230019" w:tentative="1">
      <w:start w:val="1"/>
      <w:numFmt w:val="lowerLetter"/>
      <w:lvlText w:val="%5."/>
      <w:lvlJc w:val="left"/>
      <w:pPr>
        <w:ind w:left="3945" w:hanging="360"/>
      </w:pPr>
    </w:lvl>
    <w:lvl w:ilvl="5" w:tplc="0423001B" w:tentative="1">
      <w:start w:val="1"/>
      <w:numFmt w:val="lowerRoman"/>
      <w:lvlText w:val="%6."/>
      <w:lvlJc w:val="right"/>
      <w:pPr>
        <w:ind w:left="4665" w:hanging="180"/>
      </w:pPr>
    </w:lvl>
    <w:lvl w:ilvl="6" w:tplc="0423000F" w:tentative="1">
      <w:start w:val="1"/>
      <w:numFmt w:val="decimal"/>
      <w:lvlText w:val="%7."/>
      <w:lvlJc w:val="left"/>
      <w:pPr>
        <w:ind w:left="5385" w:hanging="360"/>
      </w:pPr>
    </w:lvl>
    <w:lvl w:ilvl="7" w:tplc="04230019" w:tentative="1">
      <w:start w:val="1"/>
      <w:numFmt w:val="lowerLetter"/>
      <w:lvlText w:val="%8."/>
      <w:lvlJc w:val="left"/>
      <w:pPr>
        <w:ind w:left="6105" w:hanging="360"/>
      </w:pPr>
    </w:lvl>
    <w:lvl w:ilvl="8" w:tplc="0423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2"/>
    <w:rsid w:val="00095430"/>
    <w:rsid w:val="006526A3"/>
    <w:rsid w:val="009A2572"/>
    <w:rsid w:val="009F43EB"/>
    <w:rsid w:val="00F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2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AD09C-EDF0-4B18-82EB-2459338E2692}"/>
</file>

<file path=customXml/itemProps2.xml><?xml version="1.0" encoding="utf-8"?>
<ds:datastoreItem xmlns:ds="http://schemas.openxmlformats.org/officeDocument/2006/customXml" ds:itemID="{6652C13F-330E-4A1F-81E4-2348CCE33673}"/>
</file>

<file path=customXml/itemProps3.xml><?xml version="1.0" encoding="utf-8"?>
<ds:datastoreItem xmlns:ds="http://schemas.openxmlformats.org/officeDocument/2006/customXml" ds:itemID="{44246925-0243-44AC-8372-C259F2E66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Антон</cp:lastModifiedBy>
  <cp:revision>3</cp:revision>
  <dcterms:created xsi:type="dcterms:W3CDTF">2016-04-19T11:54:00Z</dcterms:created>
  <dcterms:modified xsi:type="dcterms:W3CDTF">2016-04-19T11:57:00Z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