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ПАМЯТКА</w:t>
      </w:r>
    </w:p>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B03C9A" w:rsidRDefault="00B03C9A" w:rsidP="00B50749">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B03C9A" w:rsidRDefault="00B03C9A" w:rsidP="00B50749">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431. Дача взятки</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Дача взятки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Дача взятки повторно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семи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Дача взятки лицом, ранее судимым за преступления, предусмотренные статьями 430, 431 и 432 настоящего Кодекса, –</w:t>
      </w:r>
      <w:r w:rsidR="00B50749" w:rsidRPr="00B50749">
        <w:rPr>
          <w:color w:val="000000"/>
        </w:rPr>
        <w:t xml:space="preserve"> </w:t>
      </w:r>
      <w:r>
        <w:rPr>
          <w:color w:val="000000"/>
        </w:rPr>
        <w:t>наказывается лишением свободы на срок от пяти до десяти лет с конфискацией имущества или без конфискации.</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432. Посредничество во взяточничестве</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Непосредственная передача взятки по поручению взяткодателя или взяткополучателя (посредничество во взяточничестве)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двух лет, или лишением свободы на срок до четырех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до шести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r w:rsidR="00B50749" w:rsidRPr="00B50749">
        <w:rPr>
          <w:color w:val="000000"/>
        </w:rPr>
        <w:t xml:space="preserve"> </w:t>
      </w:r>
      <w:r>
        <w:rPr>
          <w:color w:val="000000"/>
        </w:rPr>
        <w:t>наказывается лишением свободы на срок от трех до семи лет.</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433. Принятие незаконного вознаграждения</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w:t>
      </w:r>
      <w:proofErr w:type="gramStart"/>
      <w:r>
        <w:rPr>
          <w:color w:val="000000"/>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Pr>
          <w:color w:val="000000"/>
        </w:rPr>
        <w:t> –</w:t>
      </w:r>
      <w:r w:rsidR="00B50749" w:rsidRPr="00B50749">
        <w:rPr>
          <w:color w:val="000000"/>
        </w:rPr>
        <w:t xml:space="preserve"> </w:t>
      </w:r>
      <w:r>
        <w:rPr>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путем вымогательства, либо группой лиц по предварительному сговору,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03C9A" w:rsidRDefault="00B03C9A" w:rsidP="00B50749">
      <w:pPr>
        <w:pStyle w:val="point"/>
        <w:shd w:val="clear" w:color="auto" w:fill="FFFFFF"/>
        <w:spacing w:before="0" w:beforeAutospacing="0" w:after="0" w:afterAutospacing="0"/>
        <w:ind w:firstLine="567"/>
        <w:jc w:val="both"/>
        <w:rPr>
          <w:b/>
          <w:bCs/>
          <w:color w:val="000000"/>
          <w:u w:val="single"/>
        </w:rPr>
      </w:pPr>
      <w:r>
        <w:rPr>
          <w:color w:val="000000"/>
        </w:rPr>
        <w:t>3. Действия, предусмотренные частями 1 или 2 настоящей статьи, совершенные в особо крупном размере, –</w:t>
      </w:r>
      <w:r w:rsidR="00B50749" w:rsidRPr="00B50749">
        <w:rPr>
          <w:color w:val="000000"/>
        </w:rPr>
        <w:t xml:space="preserve"> </w:t>
      </w:r>
      <w:r>
        <w:rPr>
          <w:color w:val="000000"/>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bookmarkStart w:id="0" w:name="_GoBack"/>
      <w:bookmarkEnd w:id="0"/>
    </w:p>
    <w:sectPr w:rsidR="00B03C9A"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704"/>
    <w:rsid w:val="000E1D62"/>
    <w:rsid w:val="00160704"/>
    <w:rsid w:val="00221BEA"/>
    <w:rsid w:val="002311C9"/>
    <w:rsid w:val="00422E07"/>
    <w:rsid w:val="00433373"/>
    <w:rsid w:val="005A6B23"/>
    <w:rsid w:val="00697BFD"/>
    <w:rsid w:val="006E490A"/>
    <w:rsid w:val="00791D1E"/>
    <w:rsid w:val="008A31DD"/>
    <w:rsid w:val="008D25DD"/>
    <w:rsid w:val="00903A6C"/>
    <w:rsid w:val="00A63737"/>
    <w:rsid w:val="00AE7B2B"/>
    <w:rsid w:val="00B03C9A"/>
    <w:rsid w:val="00B13A96"/>
    <w:rsid w:val="00B50749"/>
    <w:rsid w:val="00B80CD4"/>
    <w:rsid w:val="00C02E38"/>
    <w:rsid w:val="00C16D13"/>
    <w:rsid w:val="00C20FDA"/>
    <w:rsid w:val="00C944B0"/>
    <w:rsid w:val="00D93695"/>
    <w:rsid w:val="00DB52FB"/>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D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1D62"/>
    <w:pPr>
      <w:jc w:val="both"/>
    </w:pPr>
    <w:rPr>
      <w:rFonts w:ascii="Times New Roman" w:hAnsi="Times New Roman"/>
      <w:sz w:val="28"/>
      <w:szCs w:val="22"/>
      <w:lang w:eastAsia="en-US"/>
    </w:rPr>
  </w:style>
  <w:style w:type="paragraph" w:customStyle="1" w:styleId="article">
    <w:name w:val="article"/>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C16D1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5746">
      <w:marLeft w:val="0"/>
      <w:marRight w:val="0"/>
      <w:marTop w:val="0"/>
      <w:marBottom w:val="0"/>
      <w:divBdr>
        <w:top w:val="none" w:sz="0" w:space="0" w:color="auto"/>
        <w:left w:val="none" w:sz="0" w:space="0" w:color="auto"/>
        <w:bottom w:val="none" w:sz="0" w:space="0" w:color="auto"/>
        <w:right w:val="none" w:sz="0" w:space="0" w:color="auto"/>
      </w:divBdr>
    </w:div>
    <w:div w:id="384065747">
      <w:marLeft w:val="0"/>
      <w:marRight w:val="0"/>
      <w:marTop w:val="0"/>
      <w:marBottom w:val="0"/>
      <w:divBdr>
        <w:top w:val="none" w:sz="0" w:space="0" w:color="auto"/>
        <w:left w:val="none" w:sz="0" w:space="0" w:color="auto"/>
        <w:bottom w:val="none" w:sz="0" w:space="0" w:color="auto"/>
        <w:right w:val="none" w:sz="0" w:space="0" w:color="auto"/>
      </w:divBdr>
    </w:div>
    <w:div w:id="384065748">
      <w:marLeft w:val="0"/>
      <w:marRight w:val="0"/>
      <w:marTop w:val="0"/>
      <w:marBottom w:val="0"/>
      <w:divBdr>
        <w:top w:val="none" w:sz="0" w:space="0" w:color="auto"/>
        <w:left w:val="none" w:sz="0" w:space="0" w:color="auto"/>
        <w:bottom w:val="none" w:sz="0" w:space="0" w:color="auto"/>
        <w:right w:val="none" w:sz="0" w:space="0" w:color="auto"/>
      </w:divBdr>
    </w:div>
    <w:div w:id="384065749">
      <w:marLeft w:val="0"/>
      <w:marRight w:val="0"/>
      <w:marTop w:val="0"/>
      <w:marBottom w:val="0"/>
      <w:divBdr>
        <w:top w:val="none" w:sz="0" w:space="0" w:color="auto"/>
        <w:left w:val="none" w:sz="0" w:space="0" w:color="auto"/>
        <w:bottom w:val="none" w:sz="0" w:space="0" w:color="auto"/>
        <w:right w:val="none" w:sz="0" w:space="0" w:color="auto"/>
      </w:divBdr>
    </w:div>
    <w:div w:id="384065750">
      <w:marLeft w:val="0"/>
      <w:marRight w:val="0"/>
      <w:marTop w:val="0"/>
      <w:marBottom w:val="0"/>
      <w:divBdr>
        <w:top w:val="none" w:sz="0" w:space="0" w:color="auto"/>
        <w:left w:val="none" w:sz="0" w:space="0" w:color="auto"/>
        <w:bottom w:val="none" w:sz="0" w:space="0" w:color="auto"/>
        <w:right w:val="none" w:sz="0" w:space="0" w:color="auto"/>
      </w:divBdr>
    </w:div>
    <w:div w:id="384065751">
      <w:marLeft w:val="0"/>
      <w:marRight w:val="0"/>
      <w:marTop w:val="0"/>
      <w:marBottom w:val="0"/>
      <w:divBdr>
        <w:top w:val="none" w:sz="0" w:space="0" w:color="auto"/>
        <w:left w:val="none" w:sz="0" w:space="0" w:color="auto"/>
        <w:bottom w:val="none" w:sz="0" w:space="0" w:color="auto"/>
        <w:right w:val="none" w:sz="0" w:space="0" w:color="auto"/>
      </w:divBdr>
    </w:div>
    <w:div w:id="384065752">
      <w:marLeft w:val="0"/>
      <w:marRight w:val="0"/>
      <w:marTop w:val="0"/>
      <w:marBottom w:val="0"/>
      <w:divBdr>
        <w:top w:val="none" w:sz="0" w:space="0" w:color="auto"/>
        <w:left w:val="none" w:sz="0" w:space="0" w:color="auto"/>
        <w:bottom w:val="none" w:sz="0" w:space="0" w:color="auto"/>
        <w:right w:val="none" w:sz="0" w:space="0" w:color="auto"/>
      </w:divBdr>
    </w:div>
    <w:div w:id="38406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E498BE5ADD1444AF39A1B46B481471" ma:contentTypeVersion="0" ma:contentTypeDescription="Создание документа." ma:contentTypeScope="" ma:versionID="ab17a891c3fea1077d9a88d2436d378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65151-741D-47D1-A8F7-4DB0DA8FB66A}"/>
</file>

<file path=customXml/itemProps2.xml><?xml version="1.0" encoding="utf-8"?>
<ds:datastoreItem xmlns:ds="http://schemas.openxmlformats.org/officeDocument/2006/customXml" ds:itemID="{DAD624DC-6A6B-40A4-A89B-44E77A9042C9}"/>
</file>

<file path=customXml/itemProps3.xml><?xml version="1.0" encoding="utf-8"?>
<ds:datastoreItem xmlns:ds="http://schemas.openxmlformats.org/officeDocument/2006/customXml" ds:itemID="{FFDC926D-9524-4FEE-BDF6-2D0AEDD0A54D}"/>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4</cp:revision>
  <dcterms:created xsi:type="dcterms:W3CDTF">2019-03-24T20:38:00Z</dcterms:created>
  <dcterms:modified xsi:type="dcterms:W3CDTF">2020-09-14T11:49:00Z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0x0101002EE498BE5ADD1444AF39A1B46B481471</vt:lpwstr>
  </property>
</Properties>
</file>