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3F" w:rsidRDefault="005B273F" w:rsidP="005B273F">
      <w:pPr>
        <w:pStyle w:val="name"/>
        <w:spacing w:line="280" w:lineRule="atLeast"/>
      </w:pPr>
      <w:r>
        <w:t>ИЗМЕНЕНИЯ В ЗАКОНОДАТЕЛЬСТВЕ О ДОНОРСТВЕ.</w:t>
      </w:r>
      <w:r>
        <w:br/>
        <w:t>Комментарий к </w:t>
      </w:r>
      <w:hyperlink r:id="rId4" w:anchor="a1" w:tooltip="+" w:history="1">
        <w:r>
          <w:rPr>
            <w:rStyle w:val="a3"/>
            <w:shd w:val="clear" w:color="auto" w:fill="FFFF00"/>
          </w:rPr>
          <w:t>постановлению</w:t>
        </w:r>
      </w:hyperlink>
      <w:r>
        <w:t xml:space="preserve"> </w:t>
      </w:r>
      <w:r>
        <w:rPr>
          <w:shd w:val="clear" w:color="auto" w:fill="FFFF00"/>
        </w:rPr>
        <w:t>Совета</w:t>
      </w:r>
      <w:r>
        <w:t xml:space="preserve"> </w:t>
      </w:r>
      <w:r>
        <w:rPr>
          <w:shd w:val="clear" w:color="auto" w:fill="FFFF00"/>
        </w:rPr>
        <w:t>Министров</w:t>
      </w:r>
      <w:r>
        <w:t xml:space="preserve"> </w:t>
      </w:r>
      <w:r>
        <w:rPr>
          <w:shd w:val="clear" w:color="auto" w:fill="FFFF00"/>
        </w:rPr>
        <w:t>Республики</w:t>
      </w:r>
      <w:r>
        <w:t> </w:t>
      </w:r>
      <w:r>
        <w:rPr>
          <w:shd w:val="clear" w:color="auto" w:fill="FFFF00"/>
        </w:rPr>
        <w:t>Беларусь</w:t>
      </w:r>
      <w:r>
        <w:t xml:space="preserve"> </w:t>
      </w:r>
      <w:r>
        <w:rPr>
          <w:shd w:val="clear" w:color="auto" w:fill="FFFF00"/>
        </w:rPr>
        <w:t>от</w:t>
      </w:r>
      <w:r>
        <w:t> </w:t>
      </w:r>
      <w:r>
        <w:rPr>
          <w:shd w:val="clear" w:color="auto" w:fill="FFFF00"/>
        </w:rPr>
        <w:t>07</w:t>
      </w:r>
      <w:r>
        <w:t>.</w:t>
      </w:r>
      <w:r>
        <w:rPr>
          <w:shd w:val="clear" w:color="auto" w:fill="FFFF00"/>
        </w:rPr>
        <w:t>05</w:t>
      </w:r>
      <w:r>
        <w:t>.</w:t>
      </w:r>
      <w:r>
        <w:rPr>
          <w:shd w:val="clear" w:color="auto" w:fill="FFFF00"/>
        </w:rPr>
        <w:t>2015</w:t>
      </w:r>
      <w:r>
        <w:t xml:space="preserve"> </w:t>
      </w:r>
      <w:r>
        <w:rPr>
          <w:shd w:val="clear" w:color="auto" w:fill="FFFF00"/>
        </w:rPr>
        <w:t>№</w:t>
      </w:r>
      <w:r>
        <w:t> </w:t>
      </w:r>
      <w:r>
        <w:rPr>
          <w:shd w:val="clear" w:color="auto" w:fill="FFFF00"/>
        </w:rPr>
        <w:t>386</w:t>
      </w:r>
    </w:p>
    <w:p w:rsidR="005B273F" w:rsidRDefault="005B273F" w:rsidP="005B273F">
      <w:pPr>
        <w:pStyle w:val="justify"/>
        <w:spacing w:line="280" w:lineRule="atLeast"/>
      </w:pPr>
      <w:r>
        <w:t xml:space="preserve">Комментируемым </w:t>
      </w:r>
      <w:hyperlink r:id="rId5" w:anchor="a1" w:tooltip="+" w:history="1">
        <w:r>
          <w:rPr>
            <w:rStyle w:val="a3"/>
          </w:rPr>
          <w:t>постановлением</w:t>
        </w:r>
      </w:hyperlink>
      <w:r>
        <w:t xml:space="preserve"> № 386 (далее - постановление № 386) внесены изменения и дополнения в </w:t>
      </w:r>
      <w:hyperlink r:id="rId6" w:anchor="a4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 Беларусь от 02.06.2011 № 693 «О некоторых вопросах, связанных с донорством крови и ее компонентов» (далее - постановление № 693). </w:t>
      </w:r>
      <w:hyperlink r:id="rId7" w:anchor="a1" w:tooltip="+" w:history="1">
        <w:proofErr w:type="gramStart"/>
        <w:r>
          <w:rPr>
            <w:rStyle w:val="a3"/>
          </w:rPr>
          <w:t>Постановление</w:t>
        </w:r>
      </w:hyperlink>
      <w:r>
        <w:t xml:space="preserve"> № 386 вступило в силу с 12 июля 2015 г. одновременно с </w:t>
      </w:r>
      <w:hyperlink r:id="rId8" w:anchor="a1" w:tooltip="+" w:history="1">
        <w:r>
          <w:rPr>
            <w:rStyle w:val="a3"/>
          </w:rPr>
          <w:t>Законом</w:t>
        </w:r>
      </w:hyperlink>
      <w:r>
        <w:t xml:space="preserve"> Республики Беларусь от 08.01.2015 № 238-З «О внесении дополнений и изменений в некоторые законы Республики Беларусь по вопросам донорства крови и ее компонентов», которым внесены поправки в некоторые законы Республики Беларусь по вопросам донорства крови и ее компонентов, в том числе и в </w:t>
      </w:r>
      <w:hyperlink r:id="rId9" w:anchor="a2" w:tooltip="+" w:history="1">
        <w:r>
          <w:rPr>
            <w:rStyle w:val="a3"/>
          </w:rPr>
          <w:t>Закон</w:t>
        </w:r>
      </w:hyperlink>
      <w:r>
        <w:t xml:space="preserve"> Республики Беларусь от 30.11.2010</w:t>
      </w:r>
      <w:proofErr w:type="gramEnd"/>
      <w:r>
        <w:t xml:space="preserve"> № 197-З «О донорстве крови и ее компонентов» (далее - Закон).</w:t>
      </w:r>
    </w:p>
    <w:p w:rsidR="005B273F" w:rsidRDefault="005B273F" w:rsidP="005B273F">
      <w:pPr>
        <w:pStyle w:val="podzag1"/>
        <w:spacing w:line="280" w:lineRule="atLeast"/>
      </w:pPr>
      <w:r>
        <w:t xml:space="preserve">Введена денежная компенсация за сдачу крови, ее компонентов методом </w:t>
      </w:r>
      <w:proofErr w:type="gramStart"/>
      <w:r>
        <w:t>автоматического</w:t>
      </w:r>
      <w:proofErr w:type="gramEnd"/>
      <w:r>
        <w:t xml:space="preserve"> </w:t>
      </w:r>
      <w:proofErr w:type="spellStart"/>
      <w:r>
        <w:t>плазмафереза</w:t>
      </w:r>
      <w:proofErr w:type="spellEnd"/>
    </w:p>
    <w:p w:rsidR="005B273F" w:rsidRDefault="005B273F" w:rsidP="005B273F">
      <w:pPr>
        <w:pStyle w:val="justify"/>
        <w:spacing w:line="280" w:lineRule="atLeast"/>
      </w:pPr>
      <w:hyperlink r:id="rId10" w:anchor="a1" w:tooltip="+" w:history="1">
        <w:r>
          <w:rPr>
            <w:rStyle w:val="a3"/>
          </w:rPr>
          <w:t>Постановлением</w:t>
        </w:r>
      </w:hyperlink>
      <w:r>
        <w:t xml:space="preserve"> № 386 донорам крови и ее компонентов (далее - доноры), сдавшим плазму методом автоматического </w:t>
      </w:r>
      <w:proofErr w:type="spellStart"/>
      <w:r>
        <w:t>плазмафереза</w:t>
      </w:r>
      <w:proofErr w:type="spellEnd"/>
      <w:r>
        <w:t>, введена денежная компенсация за сдачу крови, ее компонентов на возмездной основе в размере 1,5 % бюджета прожиточного минимума за каждые 50 мл плазмы (</w:t>
      </w:r>
      <w:hyperlink r:id="rId11" w:anchor="a28" w:tooltip="+" w:history="1">
        <w:r>
          <w:rPr>
            <w:rStyle w:val="a3"/>
          </w:rPr>
          <w:t>подп.1.1</w:t>
        </w:r>
      </w:hyperlink>
      <w:r>
        <w:t xml:space="preserve"> п.1 постановления № 693).</w:t>
      </w:r>
    </w:p>
    <w:p w:rsidR="005B273F" w:rsidRDefault="005B273F" w:rsidP="005B273F">
      <w:pPr>
        <w:pStyle w:val="podzag1"/>
        <w:spacing w:line="280" w:lineRule="atLeast"/>
      </w:pPr>
      <w:r>
        <w:t>Уточнен термин «организация переливания крови»</w:t>
      </w:r>
    </w:p>
    <w:p w:rsidR="005B273F" w:rsidRDefault="005B273F" w:rsidP="005B273F">
      <w:pPr>
        <w:pStyle w:val="justify"/>
        <w:spacing w:line="280" w:lineRule="atLeast"/>
      </w:pPr>
      <w:proofErr w:type="gramStart"/>
      <w:r>
        <w:t xml:space="preserve">Изменения, внесенные в </w:t>
      </w:r>
      <w:hyperlink r:id="rId12" w:anchor="a33" w:tooltip="+" w:history="1">
        <w:r>
          <w:rPr>
            <w:rStyle w:val="a3"/>
          </w:rPr>
          <w:t>абзац 10</w:t>
        </w:r>
      </w:hyperlink>
      <w:r>
        <w:t xml:space="preserve"> подп.1.1 п.1 постановления № 693, в </w:t>
      </w:r>
      <w:hyperlink r:id="rId13" w:anchor="a34" w:tooltip="+" w:history="1">
        <w:r>
          <w:rPr>
            <w:rStyle w:val="a3"/>
          </w:rPr>
          <w:t>п.2</w:t>
        </w:r>
      </w:hyperlink>
      <w:r>
        <w:t xml:space="preserve"> Положения о порядке осуществления государственного контроля за качеством крови и ее компонентов, утвержденного постановлением № 693, а также </w:t>
      </w:r>
      <w:hyperlink r:id="rId14" w:anchor="a6" w:tooltip="+" w:history="1">
        <w:r>
          <w:rPr>
            <w:rStyle w:val="a3"/>
          </w:rPr>
          <w:t>приложение</w:t>
        </w:r>
      </w:hyperlink>
      <w:r>
        <w:t xml:space="preserve"> к постановлению № 693, связаны с уточнением термина «организация переливания крови» с целью приведения его в соответствие с </w:t>
      </w:r>
      <w:hyperlink r:id="rId15" w:anchor="a103" w:tooltip="+" w:history="1">
        <w:r>
          <w:rPr>
            <w:rStyle w:val="a3"/>
          </w:rPr>
          <w:t>абзацем 12</w:t>
        </w:r>
      </w:hyperlink>
      <w:r>
        <w:t xml:space="preserve"> ст.1 Закона.</w:t>
      </w:r>
      <w:proofErr w:type="gramEnd"/>
    </w:p>
    <w:p w:rsidR="005B273F" w:rsidRDefault="005B273F" w:rsidP="005B273F">
      <w:pPr>
        <w:pStyle w:val="justify"/>
        <w:spacing w:line="280" w:lineRule="atLeast"/>
      </w:pPr>
      <w:r>
        <w:t>Так, к данным организациям с 12 июля 2015 г. следует относить:</w:t>
      </w:r>
    </w:p>
    <w:p w:rsidR="005B273F" w:rsidRDefault="005B273F" w:rsidP="005B273F">
      <w:pPr>
        <w:pStyle w:val="justify"/>
        <w:spacing w:line="280" w:lineRule="atLeast"/>
      </w:pPr>
      <w:r>
        <w:t>• государственные организации здравоохранения, осуществляющие в порядке, установленном законодательством Республики Беларусь, заготовку, переработку, хранение, реализацию крови, ее компонентов;</w:t>
      </w:r>
    </w:p>
    <w:p w:rsidR="005B273F" w:rsidRDefault="005B273F" w:rsidP="005B273F">
      <w:pPr>
        <w:pStyle w:val="justify"/>
        <w:spacing w:line="280" w:lineRule="atLeast"/>
      </w:pPr>
      <w:r>
        <w:t>• медицинские научные организации, занимающиеся деятельностью в области трансфузиологии и медицинских биотехнологий, осуществляющие в порядке, установленном законодательством Республики Беларусь, заготовку, переработку, хранение, реализацию крови, ее компонентов.</w:t>
      </w:r>
    </w:p>
    <w:p w:rsidR="005B273F" w:rsidRDefault="005B273F" w:rsidP="005B273F">
      <w:pPr>
        <w:pStyle w:val="podzag1"/>
        <w:spacing w:line="280" w:lineRule="atLeast"/>
      </w:pPr>
      <w:r>
        <w:t>Донорам разделены гарантии в зависимости от сдачи крови и ее компонентов</w:t>
      </w:r>
    </w:p>
    <w:p w:rsidR="005B273F" w:rsidRDefault="005B273F" w:rsidP="005B273F">
      <w:pPr>
        <w:pStyle w:val="justify"/>
        <w:spacing w:line="280" w:lineRule="atLeast"/>
      </w:pPr>
      <w:r>
        <w:t xml:space="preserve">В </w:t>
      </w:r>
      <w:hyperlink r:id="rId16" w:anchor="a32" w:tooltip="+" w:history="1">
        <w:r>
          <w:rPr>
            <w:rStyle w:val="a3"/>
          </w:rPr>
          <w:t>подп.1.2</w:t>
        </w:r>
      </w:hyperlink>
      <w:r>
        <w:t xml:space="preserve"> п.1 постановления № 693 уточнена гарантия, связанная с обеспечением возмездных и безвозмездных доноров бесплатным питанием в организациях переливания крови на сумму, составляющую 2 % бюджета прожиточного минимума.</w:t>
      </w:r>
    </w:p>
    <w:p w:rsidR="005B273F" w:rsidRDefault="005B273F" w:rsidP="005B273F">
      <w:pPr>
        <w:pStyle w:val="justify"/>
        <w:spacing w:line="280" w:lineRule="atLeast"/>
      </w:pPr>
      <w:r>
        <w:t xml:space="preserve">Новшеством </w:t>
      </w:r>
      <w:hyperlink r:id="rId17" w:anchor="a2" w:tooltip="+" w:history="1">
        <w:r>
          <w:rPr>
            <w:rStyle w:val="a3"/>
          </w:rPr>
          <w:t>Закона</w:t>
        </w:r>
      </w:hyperlink>
      <w:r>
        <w:t xml:space="preserve"> является закрепление и разделение гарантий донорам, сдавшим кровь и ее компоненты, в зависимости от возмездной или безвозмездной ее сдачи.</w:t>
      </w:r>
    </w:p>
    <w:p w:rsidR="005B273F" w:rsidRDefault="005B273F" w:rsidP="005B273F">
      <w:pPr>
        <w:pStyle w:val="justify"/>
        <w:spacing w:line="280" w:lineRule="atLeast"/>
      </w:pPr>
      <w:hyperlink r:id="rId18" w:anchor="a27" w:tooltip="+" w:history="1">
        <w:proofErr w:type="gramStart"/>
        <w:r>
          <w:rPr>
            <w:rStyle w:val="a3"/>
          </w:rPr>
          <w:t>Подпункт 1.3</w:t>
        </w:r>
      </w:hyperlink>
      <w:r>
        <w:t xml:space="preserve"> п.1 постановления № 693 изложен в новой редакции в соответствии с </w:t>
      </w:r>
      <w:hyperlink r:id="rId19" w:anchor="a104" w:tooltip="+" w:history="1">
        <w:r>
          <w:rPr>
            <w:rStyle w:val="a3"/>
          </w:rPr>
          <w:t>частью седьмой</w:t>
        </w:r>
      </w:hyperlink>
      <w:r>
        <w:t xml:space="preserve"> ст.31 Закона, которая устанавливает, что порядок сохранения среднего заработка работникам, денежного довольствия военнослужащим, лицам начальствующего </w:t>
      </w:r>
      <w:r>
        <w:lastRenderedPageBreak/>
        <w:t>и рядового состава органов внутренних дел, Следственного комитета Республики Беларусь, Государственного комитета судебных экспертиз Республики Беларусь, органов финансовых расследований Комитета государственного контроля Республики Беларусь, органов и подразделений по чрезвычайным</w:t>
      </w:r>
      <w:proofErr w:type="gramEnd"/>
      <w:r>
        <w:t xml:space="preserve"> ситуациям (далее - лица начальствующего и рядового состава) определяется Советом Министров Республики Беларусь, а также </w:t>
      </w:r>
      <w:hyperlink r:id="rId20" w:anchor="a105" w:tooltip="+" w:history="1">
        <w:r>
          <w:rPr>
            <w:rStyle w:val="a3"/>
          </w:rPr>
          <w:t>частью третьей</w:t>
        </w:r>
      </w:hyperlink>
      <w:r>
        <w:t xml:space="preserve"> ст.31</w:t>
      </w:r>
      <w:r>
        <w:rPr>
          <w:vertAlign w:val="superscript"/>
        </w:rPr>
        <w:t>1</w:t>
      </w:r>
      <w:r>
        <w:t xml:space="preserve"> Закона, предусматривающей сохранение среднего заработка работникам за выполнение донорской функции в рабочее время, и осуществляется в соответствии с законодательством Республики Беларусь за счет нанимателя при условии уведомления его не </w:t>
      </w:r>
      <w:proofErr w:type="gramStart"/>
      <w:r>
        <w:t>позднее</w:t>
      </w:r>
      <w:proofErr w:type="gramEnd"/>
      <w:r>
        <w:t xml:space="preserve"> чем за 2 рабочих дня (за исключением случаев выполнения донорской функции в экстренном </w:t>
      </w:r>
      <w:proofErr w:type="gramStart"/>
      <w:r>
        <w:t>порядке</w:t>
      </w:r>
      <w:proofErr w:type="gramEnd"/>
      <w:r>
        <w:t xml:space="preserve"> в целях сохранения жизни и здоровья реципиента) о датах выполнения донорской функции и использования дней отдыха. Военнослужащим, лицам начальствующего и рядового состава сохранение денежного довольствия осуществляется по месту военной службы (службы) также за счет нанимателя.</w:t>
      </w:r>
    </w:p>
    <w:p w:rsidR="005B273F" w:rsidRDefault="005B273F" w:rsidP="005B273F">
      <w:pPr>
        <w:pStyle w:val="justify"/>
        <w:spacing w:line="280" w:lineRule="atLeast"/>
      </w:pPr>
      <w:r>
        <w:t xml:space="preserve">В этой связи новая редакция </w:t>
      </w:r>
      <w:hyperlink r:id="rId21" w:anchor="a27" w:tooltip="+" w:history="1">
        <w:r>
          <w:rPr>
            <w:rStyle w:val="a3"/>
          </w:rPr>
          <w:t>подп.1.3</w:t>
        </w:r>
      </w:hyperlink>
      <w:r>
        <w:t xml:space="preserve"> п.1 постановления № 693 разделяет гарантии донорам в зависимости от условий сдачи крови и ее компонентов (</w:t>
      </w:r>
      <w:proofErr w:type="spellStart"/>
      <w:r>
        <w:t>возмездно</w:t>
      </w:r>
      <w:proofErr w:type="spellEnd"/>
      <w:r>
        <w:t xml:space="preserve"> или безвозмездно).</w:t>
      </w:r>
    </w:p>
    <w:p w:rsidR="005B273F" w:rsidRDefault="005B273F" w:rsidP="005B273F">
      <w:pPr>
        <w:pStyle w:val="justify"/>
        <w:spacing w:line="280" w:lineRule="atLeast"/>
      </w:pPr>
      <w:r>
        <w:t xml:space="preserve">Так, </w:t>
      </w:r>
      <w:hyperlink r:id="rId22" w:anchor="a27" w:tooltip="+" w:history="1">
        <w:r>
          <w:rPr>
            <w:rStyle w:val="a3"/>
          </w:rPr>
          <w:t>часть первая</w:t>
        </w:r>
      </w:hyperlink>
      <w:r>
        <w:t xml:space="preserve"> подп.1.3 п.1 постановления № 693 устанавливает сохранение среднего заработка (денежного довольствия) за счет организации переливания крови (в случае забора крови, ее компонентов в выездных условиях бригадой станции переливания крови Вооруженных Сил Республики Беларусь - за счет средств воинских частей и организаций Вооруженных Сил Республики Беларусь) </w:t>
      </w:r>
      <w:proofErr w:type="gramStart"/>
      <w:r>
        <w:t>за</w:t>
      </w:r>
      <w:proofErr w:type="gramEnd"/>
      <w:r>
        <w:t>:</w:t>
      </w:r>
    </w:p>
    <w:p w:rsidR="005B273F" w:rsidRDefault="005B273F" w:rsidP="005B273F">
      <w:pPr>
        <w:pStyle w:val="justify"/>
        <w:spacing w:line="280" w:lineRule="atLeast"/>
      </w:pPr>
      <w:r>
        <w:t>• день выполнения донорской функции в рабочее время на возмездной основе;</w:t>
      </w:r>
    </w:p>
    <w:p w:rsidR="005B273F" w:rsidRDefault="005B273F" w:rsidP="005B273F">
      <w:pPr>
        <w:pStyle w:val="justify"/>
        <w:spacing w:line="280" w:lineRule="atLeast"/>
      </w:pPr>
      <w:r>
        <w:t>• предоставление одного дня отдыха (дня освобождения от исполнения обязанностей военной службы (службы)) работникам, военнослужащим, лицам начальствующего и рядового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 подразделений по чрезвычайным ситуациям.</w:t>
      </w:r>
    </w:p>
    <w:p w:rsidR="005B273F" w:rsidRDefault="005B273F" w:rsidP="005B273F">
      <w:pPr>
        <w:pStyle w:val="justify"/>
        <w:spacing w:line="280" w:lineRule="atLeast"/>
      </w:pPr>
      <w:r>
        <w:t>Указанная гарантия осуществляется при представлении справки с места работы (военной службы (службы)), содержащей сведения о фактическом использовании этих дней, а также о среднем заработке (денежном довольствии) за указанные дни, исчисленном в соответствии с законодательством.</w:t>
      </w:r>
    </w:p>
    <w:p w:rsidR="005B273F" w:rsidRDefault="005B273F" w:rsidP="005B273F">
      <w:pPr>
        <w:pStyle w:val="justify"/>
        <w:spacing w:line="280" w:lineRule="atLeast"/>
      </w:pPr>
      <w:r>
        <w:t xml:space="preserve">С учетом требований </w:t>
      </w:r>
      <w:hyperlink r:id="rId23" w:anchor="a98" w:tooltip="+" w:history="1">
        <w:r>
          <w:rPr>
            <w:rStyle w:val="a3"/>
          </w:rPr>
          <w:t>части третьей</w:t>
        </w:r>
      </w:hyperlink>
      <w:r>
        <w:t xml:space="preserve"> ст.31 Закона определен порядок сохранения денежного довольствия при выполнении военнослужащими, лицами начальствующего и рядового состава донорской функции на возмездной основе:</w:t>
      </w:r>
    </w:p>
    <w:p w:rsidR="005B273F" w:rsidRDefault="005B273F" w:rsidP="005B273F">
      <w:pPr>
        <w:pStyle w:val="justify"/>
        <w:spacing w:line="280" w:lineRule="atLeast"/>
      </w:pPr>
      <w:r>
        <w:t>• во время отпуска, предоставляемого военнослужащим, лицам начальствующего и рядового состава в соответствии с порядком прохождения военной службы (службы);</w:t>
      </w:r>
    </w:p>
    <w:p w:rsidR="005B273F" w:rsidRDefault="005B273F" w:rsidP="005B273F">
      <w:pPr>
        <w:pStyle w:val="justify"/>
        <w:spacing w:line="280" w:lineRule="atLeast"/>
      </w:pPr>
      <w:r>
        <w:t>• в государственные праздники и праздничные дни, установленные и объявленные Президентом Республики Беларусь нерабочими;</w:t>
      </w:r>
    </w:p>
    <w:p w:rsidR="005B273F" w:rsidRDefault="005B273F" w:rsidP="005B273F">
      <w:pPr>
        <w:pStyle w:val="justify"/>
        <w:spacing w:line="280" w:lineRule="atLeast"/>
      </w:pPr>
      <w:r>
        <w:t>• в выходные дни или после рабочего дня.</w:t>
      </w:r>
    </w:p>
    <w:p w:rsidR="005B273F" w:rsidRDefault="005B273F" w:rsidP="005B273F">
      <w:pPr>
        <w:pStyle w:val="justify"/>
        <w:spacing w:line="280" w:lineRule="atLeast"/>
      </w:pPr>
      <w:proofErr w:type="gramStart"/>
      <w:r>
        <w:t xml:space="preserve">За выполнение донорской функции на возмездной основе в указанные дни военнослужащим, лицам начальствующего и рядового состава предоставляется день освобождения от исполнения обязанностей военной службы (службы) с сохранением денежного довольствия за этот день за счет организации переливания крови (в случае забора крови, ее компонентов в выездных условиях бригадой станции переливания крови </w:t>
      </w:r>
      <w:r>
        <w:lastRenderedPageBreak/>
        <w:t>Вооруженных Сил Республики Беларусь - за счет средств воинских частей и</w:t>
      </w:r>
      <w:proofErr w:type="gramEnd"/>
      <w:r>
        <w:t xml:space="preserve"> организаций Вооруженных Сил Республики Беларусь) за фактически использованный такой день.</w:t>
      </w:r>
    </w:p>
    <w:p w:rsidR="005B273F" w:rsidRDefault="005B273F" w:rsidP="005B273F">
      <w:pPr>
        <w:pStyle w:val="justify"/>
        <w:spacing w:line="280" w:lineRule="atLeast"/>
      </w:pPr>
      <w:r>
        <w:t>Оплата за указанный день освобождения от исполнения обязанностей военной службы (службы) производится при представлении документов, подтверждающих использование этого дня, и справки с места военной службы (службы) о денежном довольствии за этот день, исчисленном в соответствии с законодательством.</w:t>
      </w:r>
    </w:p>
    <w:p w:rsidR="005B273F" w:rsidRDefault="005B273F" w:rsidP="005B273F">
      <w:pPr>
        <w:pStyle w:val="justify"/>
        <w:spacing w:line="280" w:lineRule="atLeast"/>
      </w:pPr>
      <w:r>
        <w:t xml:space="preserve">В соответствии с нормами, установленными </w:t>
      </w:r>
      <w:hyperlink r:id="rId24" w:anchor="a105" w:tooltip="+" w:history="1">
        <w:r>
          <w:rPr>
            <w:rStyle w:val="a3"/>
          </w:rPr>
          <w:t>частью третьей</w:t>
        </w:r>
      </w:hyperlink>
      <w:r>
        <w:t xml:space="preserve"> ст.31</w:t>
      </w:r>
      <w:r>
        <w:rPr>
          <w:vertAlign w:val="superscript"/>
        </w:rPr>
        <w:t>1</w:t>
      </w:r>
      <w:r>
        <w:t xml:space="preserve"> Закона, безвозмездным донорам сохранение среднего заработка (денежного довольствия) за день выполнения донорской функции в рабочее время осуществляется за счет нанимателя (военнослужащим, лицам начальствующего и рядового состава - по месту военной службы (службы)) при условии, что донор не </w:t>
      </w:r>
      <w:proofErr w:type="gramStart"/>
      <w:r>
        <w:t>позднее</w:t>
      </w:r>
      <w:proofErr w:type="gramEnd"/>
      <w:r>
        <w:t xml:space="preserve"> чем за 2 рабочих дня (за исключением случаев выполнения донорской функции в экстренном порядке в целях сохранения жизни и здоровья реципиента) предупредил нанимателя о датах выполнения донорской функции и использования дней отдыха.</w:t>
      </w:r>
    </w:p>
    <w:p w:rsidR="005B273F" w:rsidRDefault="005B273F" w:rsidP="005B273F">
      <w:pPr>
        <w:pStyle w:val="podzag1"/>
        <w:spacing w:line="280" w:lineRule="atLeast"/>
      </w:pPr>
      <w:r>
        <w:t xml:space="preserve">Терминология </w:t>
      </w:r>
      <w:hyperlink r:id="rId25" w:anchor="a4" w:tooltip="+" w:history="1">
        <w:r>
          <w:rPr>
            <w:rStyle w:val="a3"/>
          </w:rPr>
          <w:t>постановления</w:t>
        </w:r>
      </w:hyperlink>
      <w:r>
        <w:t xml:space="preserve"> № 693 приведена в соответствие с </w:t>
      </w:r>
      <w:hyperlink r:id="rId26" w:anchor="a2" w:tooltip="+" w:history="1">
        <w:r>
          <w:rPr>
            <w:rStyle w:val="a3"/>
          </w:rPr>
          <w:t>Законом</w:t>
        </w:r>
      </w:hyperlink>
    </w:p>
    <w:p w:rsidR="005B273F" w:rsidRDefault="005B273F" w:rsidP="005B273F">
      <w:pPr>
        <w:pStyle w:val="justify"/>
        <w:spacing w:line="280" w:lineRule="atLeast"/>
      </w:pPr>
      <w:r>
        <w:t xml:space="preserve">В </w:t>
      </w:r>
      <w:hyperlink r:id="rId27" w:anchor="a12" w:tooltip="+" w:history="1">
        <w:r>
          <w:rPr>
            <w:rStyle w:val="a3"/>
          </w:rPr>
          <w:t>ст.1</w:t>
        </w:r>
      </w:hyperlink>
      <w:r>
        <w:t xml:space="preserve"> Закона уточняется ряд используемых в нем основных терминов, подчеркивается добровольность прохождения медицинского осмотра и сдачи крови, ее компонентов, уточняется термин донорства крови, ее компонентов как системы мероприятий, направленных на организацию, обеспечение и осуществление заготовки крови, ее компонентов. В этой связи ряд изменений, вносимых </w:t>
      </w:r>
      <w:hyperlink r:id="rId28" w:anchor="a4" w:tooltip="+" w:history="1">
        <w:r>
          <w:rPr>
            <w:rStyle w:val="a3"/>
          </w:rPr>
          <w:t>постановлением</w:t>
        </w:r>
      </w:hyperlink>
      <w:r>
        <w:t xml:space="preserve"> № 386, связан с приведением терминологии в соответствие с </w:t>
      </w:r>
      <w:hyperlink r:id="rId29" w:anchor="a2" w:tooltip="+" w:history="1">
        <w:r>
          <w:rPr>
            <w:rStyle w:val="a3"/>
          </w:rPr>
          <w:t>Законом</w:t>
        </w:r>
      </w:hyperlink>
      <w:r>
        <w:t>.</w:t>
      </w:r>
    </w:p>
    <w:p w:rsidR="005B273F" w:rsidRDefault="005B273F" w:rsidP="005B273F">
      <w:pPr>
        <w:pStyle w:val="a4"/>
        <w:spacing w:line="280" w:lineRule="atLeast"/>
      </w:pPr>
      <w:r>
        <w:t> </w:t>
      </w:r>
    </w:p>
    <w:p w:rsidR="005B273F" w:rsidRDefault="005B273F" w:rsidP="005B273F">
      <w:pPr>
        <w:pStyle w:val="podpis"/>
        <w:spacing w:line="280" w:lineRule="atLeast"/>
      </w:pPr>
      <w:r>
        <w:t>12.10.2015</w:t>
      </w:r>
    </w:p>
    <w:p w:rsidR="008C48C2" w:rsidRDefault="008C48C2"/>
    <w:sectPr w:rsidR="008C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73F"/>
    <w:rsid w:val="005B273F"/>
    <w:rsid w:val="008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73F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5B273F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5B273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5B273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me">
    <w:name w:val="name"/>
    <w:basedOn w:val="a"/>
    <w:rsid w:val="005B273F"/>
    <w:pPr>
      <w:spacing w:before="160" w:after="24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5B273F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Gbinfo_u\nazarenko\Temp\213849.htm" TargetMode="External"/><Relationship Id="rId18" Type="http://schemas.openxmlformats.org/officeDocument/2006/relationships/hyperlink" Target="file:///C:\Gbinfo_u\nazarenko\Temp\213849.htm" TargetMode="External"/><Relationship Id="rId26" Type="http://schemas.openxmlformats.org/officeDocument/2006/relationships/hyperlink" Target="file:///C:\Gbinfo_u\nazarenko\Temp\20054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Gbinfo_u\nazarenko\Temp\213849.htm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file:///C:\Gbinfo_u\nazarenko\Temp\301429.htm" TargetMode="External"/><Relationship Id="rId12" Type="http://schemas.openxmlformats.org/officeDocument/2006/relationships/hyperlink" Target="file:///C:\Gbinfo_u\nazarenko\Temp\213849.htm" TargetMode="External"/><Relationship Id="rId17" Type="http://schemas.openxmlformats.org/officeDocument/2006/relationships/hyperlink" Target="file:///C:\Gbinfo_u\nazarenko\Temp\200540.htm" TargetMode="External"/><Relationship Id="rId25" Type="http://schemas.openxmlformats.org/officeDocument/2006/relationships/hyperlink" Target="file:///C:\Gbinfo_u\nazarenko\Temp\213849.htm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file:///C:\Gbinfo_u\nazarenko\Temp\213849.htm" TargetMode="External"/><Relationship Id="rId20" Type="http://schemas.openxmlformats.org/officeDocument/2006/relationships/hyperlink" Target="file:///C:\Gbinfo_u\nazarenko\Temp\200540.htm" TargetMode="External"/><Relationship Id="rId29" Type="http://schemas.openxmlformats.org/officeDocument/2006/relationships/hyperlink" Target="file:///C:\Gbinfo_u\nazarenko\Temp\200540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Gbinfo_u\nazarenko\Temp\213849.htm" TargetMode="External"/><Relationship Id="rId11" Type="http://schemas.openxmlformats.org/officeDocument/2006/relationships/hyperlink" Target="file:///C:\Gbinfo_u\nazarenko\Temp\213849.htm" TargetMode="External"/><Relationship Id="rId24" Type="http://schemas.openxmlformats.org/officeDocument/2006/relationships/hyperlink" Target="file:///C:\Gbinfo_u\nazarenko\Temp\200540.htm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file:///C:\Gbinfo_u\nazarenko\Temp\301429.htm" TargetMode="External"/><Relationship Id="rId15" Type="http://schemas.openxmlformats.org/officeDocument/2006/relationships/hyperlink" Target="file:///C:\Gbinfo_u\nazarenko\Temp\200540.htm" TargetMode="External"/><Relationship Id="rId23" Type="http://schemas.openxmlformats.org/officeDocument/2006/relationships/hyperlink" Target="file:///C:\Gbinfo_u\nazarenko\Temp\200540.htm" TargetMode="External"/><Relationship Id="rId28" Type="http://schemas.openxmlformats.org/officeDocument/2006/relationships/hyperlink" Target="file:///C:\Gbinfo_u\nazarenko\Temp\213849.htm" TargetMode="External"/><Relationship Id="rId10" Type="http://schemas.openxmlformats.org/officeDocument/2006/relationships/hyperlink" Target="file:///C:\Gbinfo_u\nazarenko\Temp\301429.htm" TargetMode="External"/><Relationship Id="rId19" Type="http://schemas.openxmlformats.org/officeDocument/2006/relationships/hyperlink" Target="file:///C:\Gbinfo_u\nazarenko\Temp\200540.htm" TargetMode="External"/><Relationship Id="rId31" Type="http://schemas.openxmlformats.org/officeDocument/2006/relationships/theme" Target="theme/theme1.xml"/><Relationship Id="rId4" Type="http://schemas.openxmlformats.org/officeDocument/2006/relationships/hyperlink" Target="file:///C:\Gbinfo_u\nazarenko\Temp\301429.htm" TargetMode="External"/><Relationship Id="rId9" Type="http://schemas.openxmlformats.org/officeDocument/2006/relationships/hyperlink" Target="file:///C:\Gbinfo_u\nazarenko\Temp\200540.htm" TargetMode="External"/><Relationship Id="rId14" Type="http://schemas.openxmlformats.org/officeDocument/2006/relationships/hyperlink" Target="file:///C:\Gbinfo_u\nazarenko\Temp\213849.htm" TargetMode="External"/><Relationship Id="rId22" Type="http://schemas.openxmlformats.org/officeDocument/2006/relationships/hyperlink" Target="file:///C:\Gbinfo_u\nazarenko\Temp\213849.htm" TargetMode="External"/><Relationship Id="rId27" Type="http://schemas.openxmlformats.org/officeDocument/2006/relationships/hyperlink" Target="file:///C:\Gbinfo_u\nazarenko\Temp\200540.htm" TargetMode="External"/><Relationship Id="rId30" Type="http://schemas.openxmlformats.org/officeDocument/2006/relationships/fontTable" Target="fontTable.xml"/><Relationship Id="rId8" Type="http://schemas.openxmlformats.org/officeDocument/2006/relationships/hyperlink" Target="file:///C:\Gbinfo_u\nazarenko\Temp\2943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2A368D3035494DA465E43C4C6E389A" ma:contentTypeVersion="0" ma:contentTypeDescription="Создание документа." ma:contentTypeScope="" ma:versionID="d1d54fd65e0c52a0ce3731597e904d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16E56-9531-47A0-9B3B-13042EDB477A}"/>
</file>

<file path=customXml/itemProps2.xml><?xml version="1.0" encoding="utf-8"?>
<ds:datastoreItem xmlns:ds="http://schemas.openxmlformats.org/officeDocument/2006/customXml" ds:itemID="{0614D17C-747A-47DE-B9D1-00073E0AAE7F}"/>
</file>

<file path=customXml/itemProps3.xml><?xml version="1.0" encoding="utf-8"?>
<ds:datastoreItem xmlns:ds="http://schemas.openxmlformats.org/officeDocument/2006/customXml" ds:itemID="{4704C35C-0C64-4973-B2ED-B28835680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8398</Characters>
  <Application>Microsoft Office Word</Application>
  <DocSecurity>0</DocSecurity>
  <Lines>69</Lines>
  <Paragraphs>19</Paragraphs>
  <ScaleCrop>false</ScaleCrop>
  <Company>GGU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2016-11-28T11:22:00Z</dcterms:created>
  <dcterms:modified xsi:type="dcterms:W3CDTF">2016-11-28T11:22:00Z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0x0101004F2A368D3035494DA465E43C4C6E389A</vt:lpwstr>
  </property>
</Properties>
</file>