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B4E" w:rsidRPr="00DB1B4E" w:rsidRDefault="00DB1B4E" w:rsidP="00DB1B4E">
      <w:pPr>
        <w:pStyle w:val="newncpi0"/>
        <w:jc w:val="center"/>
      </w:pPr>
      <w:r w:rsidRPr="00DB1B4E">
        <w:t> </w:t>
      </w:r>
    </w:p>
    <w:p w:rsidR="00DB1B4E" w:rsidRPr="00DB1B4E" w:rsidRDefault="00DB1B4E" w:rsidP="00DB1B4E">
      <w:pPr>
        <w:pStyle w:val="newncpi0"/>
        <w:jc w:val="center"/>
      </w:pPr>
      <w:bookmarkStart w:id="0" w:name="a1"/>
      <w:bookmarkEnd w:id="0"/>
      <w:r w:rsidRPr="00DB1B4E">
        <w:rPr>
          <w:rStyle w:val="name"/>
        </w:rPr>
        <w:t>ПОСТАНОВЛЕНИЕ </w:t>
      </w:r>
      <w:r w:rsidRPr="00DB1B4E">
        <w:rPr>
          <w:rStyle w:val="promulgator"/>
        </w:rPr>
        <w:t>МИНИСТЕРСТВА ФИНАНСОВ РЕСПУБЛИКИ БЕЛАРУСЬ</w:t>
      </w:r>
    </w:p>
    <w:p w:rsidR="00DB1B4E" w:rsidRPr="00DB1B4E" w:rsidRDefault="00DB1B4E" w:rsidP="00DB1B4E">
      <w:pPr>
        <w:pStyle w:val="newncpi"/>
        <w:ind w:firstLine="0"/>
        <w:jc w:val="center"/>
      </w:pPr>
      <w:r w:rsidRPr="00DB1B4E">
        <w:rPr>
          <w:rStyle w:val="datepr"/>
        </w:rPr>
        <w:t>30 апреля 2019 г.</w:t>
      </w:r>
      <w:r w:rsidRPr="00DB1B4E">
        <w:rPr>
          <w:rStyle w:val="number"/>
        </w:rPr>
        <w:t xml:space="preserve"> № 24</w:t>
      </w:r>
    </w:p>
    <w:p w:rsidR="00DB1B4E" w:rsidRPr="00DB1B4E" w:rsidRDefault="00DB1B4E" w:rsidP="00DB1B4E">
      <w:pPr>
        <w:pStyle w:val="titlencpi"/>
      </w:pPr>
      <w:r w:rsidRPr="00DB1B4E">
        <w:t>О бухгалтерском учете налога на добавленную стоимость в бюджетных организациях</w:t>
      </w:r>
    </w:p>
    <w:p w:rsidR="00DB1B4E" w:rsidRDefault="00DB1B4E" w:rsidP="00DB1B4E">
      <w:pPr>
        <w:pStyle w:val="preamble"/>
      </w:pPr>
      <w:r w:rsidRPr="00DB1B4E">
        <w:t>На основании абзаца четвертого пункта 5 статьи 5 Закона Республики Беларусь от 12 июля 2013 г. № 57-З «О бухгалтерском учете и отчетности», пункта 10 Положения о Министерстве финансов Республики Беларусь, утвержденного постановлением Совета Министров Республики Беларусь от 31 октября 2001 г. № 1585, Министерство финансов Республики Беларусь ПОСТАНОВЛЯЕТ:</w:t>
      </w:r>
    </w:p>
    <w:p w:rsidR="00DB1B4E" w:rsidRPr="00DB1B4E" w:rsidRDefault="00DB1B4E" w:rsidP="00DB1B4E">
      <w:pPr>
        <w:pStyle w:val="point"/>
      </w:pPr>
      <w:bookmarkStart w:id="1" w:name="_GoBack"/>
      <w:bookmarkEnd w:id="1"/>
      <w:r w:rsidRPr="00DB1B4E">
        <w:t>1. Установить, что в бюджетных организациях:</w:t>
      </w:r>
    </w:p>
    <w:p w:rsidR="00DB1B4E" w:rsidRPr="00DB1B4E" w:rsidRDefault="00DB1B4E" w:rsidP="00DB1B4E">
      <w:pPr>
        <w:pStyle w:val="underpoint"/>
      </w:pPr>
      <w:bookmarkStart w:id="2" w:name="a5"/>
      <w:bookmarkEnd w:id="2"/>
      <w:r w:rsidRPr="00DB1B4E">
        <w:t>1.1. сумма налога на добавленную стоимость по основным средствам, нематериальным активам, товарам, другим активам (далее – товары), работам, услугам, приобретенным (ввезенным) за счет средств соответствующего бюджета и (или) средств от приносящей доходы деятельности, относимая на увеличение стоимости этих товаров, работ, услуг, отражается по дебету соответствующего субсчета счетов 01 «Основные средства», 04 «Оборудование, строительные материалы для капитального строительства и материалы для научных исследований», 05 «Животные на выращивании и откорме», 06 «Материалы и продукты питания», 07 «Отдельные предметы в составе оборотных средств», 08 «Затраты на производство», 20 «Расходы по бюджету», 21 «Прочие расходы» и других счетов и кредиту соответствующего субсчета счетов 10 «Текущие счета по бюджету», 11 «Текущие счета по внебюджетным средствам», 15 «Расчеты с поставщиками и покупателями», 16 «Расчеты с подотчетными лицами», 17 «Расчеты с разными дебиторами и кредиторами» и других счетов;</w:t>
      </w:r>
    </w:p>
    <w:p w:rsidR="00DB1B4E" w:rsidRPr="00DB1B4E" w:rsidRDefault="00DB1B4E" w:rsidP="00DB1B4E">
      <w:pPr>
        <w:pStyle w:val="underpoint"/>
      </w:pPr>
      <w:bookmarkStart w:id="3" w:name="a6"/>
      <w:bookmarkEnd w:id="3"/>
      <w:r w:rsidRPr="00DB1B4E">
        <w:t>1.2. сумма налога на добавленную стоимость по товарам, работам, услугам, приобретенным (ввезенным) за счет средств от приносящей доходы деятельности, отражается по дебету счета 17 «Расчеты с разными дебиторами и кредиторами» (субсчет 175 «Налог на добавленную стоимость по приобретенным товарам (работам, услугам)») и кредиту соответствующего субсчета счетов 11 «Текущие счета по внебюджетным средствам», 15 «Расчеты с поставщиками и покупателями», 16 «Расчеты с подотчетными лицами», 17 «Расчеты с разными дебиторами и кредиторами» и других счетов.</w:t>
      </w:r>
    </w:p>
    <w:p w:rsidR="00DB1B4E" w:rsidRPr="00DB1B4E" w:rsidRDefault="00DB1B4E" w:rsidP="00DB1B4E">
      <w:pPr>
        <w:pStyle w:val="newncpi"/>
      </w:pPr>
      <w:bookmarkStart w:id="4" w:name="a7"/>
      <w:bookmarkEnd w:id="4"/>
      <w:r w:rsidRPr="00DB1B4E">
        <w:t>Сумма налога на добавленную стоимость, исчисленная по доходам от приносящей доходы деятельности, отражается по дебету соответствующего субсчета счетов 23 «Финансирование и займы», 28 «Реализация», 41 «Прибыли и убытки» и других счетов и кредиту счета 17 «Расчеты с разными дебиторами и кредиторами» (субсчет 173 «Расчеты с бюджетом»).</w:t>
      </w:r>
    </w:p>
    <w:p w:rsidR="00DB1B4E" w:rsidRPr="00DB1B4E" w:rsidRDefault="00DB1B4E" w:rsidP="00DB1B4E">
      <w:pPr>
        <w:pStyle w:val="newncpi"/>
      </w:pPr>
      <w:r w:rsidRPr="00DB1B4E">
        <w:t>Сумма налога на добавленную стоимость, подлежащая вычету, отражается по дебету счета 17 «Расчеты с разными дебиторами и кредиторами» (субсчет 173 «Расчеты с бюджетом») и кредиту счета 17 «Расчеты с разными дебиторами и кредиторами» (субсчет 175 «Налог на добавленную стоимость по приобретенным товарам (работам, услугам)»).</w:t>
      </w:r>
    </w:p>
    <w:p w:rsidR="00DB1B4E" w:rsidRPr="00DB1B4E" w:rsidRDefault="00DB1B4E" w:rsidP="00DB1B4E">
      <w:pPr>
        <w:pStyle w:val="newncpi"/>
      </w:pPr>
      <w:bookmarkStart w:id="5" w:name="a8"/>
      <w:bookmarkEnd w:id="5"/>
      <w:r w:rsidRPr="00DB1B4E">
        <w:t xml:space="preserve">Сумма налога на добавленную стоимость, уплаченная в бюджет, отражается по дебету счета 17 «Расчеты с разными дебиторами и кредиторами» (субсчет 173 «Расчеты с </w:t>
      </w:r>
      <w:r w:rsidRPr="00DB1B4E">
        <w:lastRenderedPageBreak/>
        <w:t>бюджетом») и кредиту счета 11 «Текущие счета по внебюджетным средствам» (субсчет 111 «Текущий счет по внебюджетным средствам»);</w:t>
      </w:r>
    </w:p>
    <w:p w:rsidR="00DB1B4E" w:rsidRPr="00DB1B4E" w:rsidRDefault="00DB1B4E" w:rsidP="00DB1B4E">
      <w:pPr>
        <w:pStyle w:val="underpoint"/>
      </w:pPr>
      <w:bookmarkStart w:id="6" w:name="a9"/>
      <w:bookmarkEnd w:id="6"/>
      <w:r w:rsidRPr="00DB1B4E">
        <w:t>1.3. сумма налога на добавленную стоимость, не подлежащая вычету по товарам в случае их порчи, утраты, отражается по дебету счета 17 «Расчеты с разными дебиторами и кредиторами» (субсчет 170 «Расчеты по недостачам») и кредиту счета 17 «Расчеты с разными дебиторами и кредиторами» (субсчет 175 «Налог на добавленную стоимость по приобретенным товарам (работам, услугам)»).</w:t>
      </w:r>
    </w:p>
    <w:p w:rsidR="00DB1B4E" w:rsidRPr="00DB1B4E" w:rsidRDefault="00DB1B4E" w:rsidP="00DB1B4E">
      <w:pPr>
        <w:pStyle w:val="newncpi"/>
      </w:pPr>
      <w:bookmarkStart w:id="7" w:name="a10"/>
      <w:bookmarkEnd w:id="7"/>
      <w:r w:rsidRPr="00DB1B4E">
        <w:t xml:space="preserve">Сумма налога на добавленную стоимость, принятого к вычету по товарам в случае их порчи, утраты, восстанавливается </w:t>
      </w:r>
      <w:proofErr w:type="spellStart"/>
      <w:r w:rsidRPr="00DB1B4E">
        <w:t>сторнировочной</w:t>
      </w:r>
      <w:proofErr w:type="spellEnd"/>
      <w:r w:rsidRPr="00DB1B4E">
        <w:t xml:space="preserve"> записью по дебету счета 17 «Расчеты с разными дебиторами и кредиторами» (субсчет 173 «Расчеты с бюджетом») и кредиту счета 17 «Расчеты с разными дебиторами и кредиторами» (субсчет 175 «Налог на добавленную стоимость по приобретенным товарам (работам, услугам)»);</w:t>
      </w:r>
    </w:p>
    <w:p w:rsidR="00DB1B4E" w:rsidRPr="00DB1B4E" w:rsidRDefault="00DB1B4E" w:rsidP="00DB1B4E">
      <w:pPr>
        <w:pStyle w:val="underpoint"/>
      </w:pPr>
      <w:bookmarkStart w:id="8" w:name="a11"/>
      <w:bookmarkEnd w:id="8"/>
      <w:r w:rsidRPr="00DB1B4E">
        <w:t>1.4. сумма налога на добавленную стоимость по приобретенным (ввезенным) товарам, работам, услугам, использованным при производстве и (или) реализации товаров, работ, услуг, операции по реализации которых освобождены от налогообложения налогом на добавленную стоимость, отражается по дебету счетов 08 «Затраты на производство», 21 «Прочие расходы» (субсчет 211 «Расходы по внебюджетным средствам») и кредиту счета 17 «Расчеты с разными дебиторами и кредиторами» (субсчет 175 «Налог на добавленную стоимость по приобретенным товарам (работам, услугам)»).</w:t>
      </w:r>
    </w:p>
    <w:p w:rsidR="00DB1B4E" w:rsidRPr="00DB1B4E" w:rsidRDefault="00DB1B4E" w:rsidP="00DB1B4E">
      <w:pPr>
        <w:pStyle w:val="point"/>
      </w:pPr>
      <w:bookmarkStart w:id="9" w:name="a2"/>
      <w:bookmarkEnd w:id="9"/>
      <w:r w:rsidRPr="00DB1B4E">
        <w:t>2. Признать утратившими силу:</w:t>
      </w:r>
    </w:p>
    <w:p w:rsidR="00DB1B4E" w:rsidRPr="00DB1B4E" w:rsidRDefault="00DB1B4E" w:rsidP="00DB1B4E">
      <w:pPr>
        <w:pStyle w:val="newncpi"/>
      </w:pPr>
      <w:r w:rsidRPr="00DB1B4E">
        <w:t>постановление Министерства финансов Республики Беларусь от 15 марта 2000 г. № 19 «Об утверждении Инструкции о порядке отражения в бухгалтерском учете налога на добавленную стоимость бюджетными организациями»;</w:t>
      </w:r>
    </w:p>
    <w:p w:rsidR="00DB1B4E" w:rsidRPr="00DB1B4E" w:rsidRDefault="00DB1B4E" w:rsidP="00DB1B4E">
      <w:pPr>
        <w:pStyle w:val="newncpi"/>
      </w:pPr>
      <w:bookmarkStart w:id="10" w:name="a3"/>
      <w:bookmarkEnd w:id="10"/>
      <w:r w:rsidRPr="00DB1B4E">
        <w:t>пункт 2 постановления Министерства финансов Республики Беларусь от 22 апреля 2010 г. № 50 «О некоторых вопросах бухгалтерского учета»;</w:t>
      </w:r>
    </w:p>
    <w:p w:rsidR="00DB1B4E" w:rsidRPr="00DB1B4E" w:rsidRDefault="00DB1B4E" w:rsidP="00DB1B4E">
      <w:pPr>
        <w:pStyle w:val="newncpi"/>
      </w:pPr>
      <w:bookmarkStart w:id="11" w:name="a4"/>
      <w:bookmarkEnd w:id="11"/>
      <w:r w:rsidRPr="00DB1B4E">
        <w:t>пункт 1 постановления Министерства финансов Республики Беларусь от 26 мая 2010 г. № 60 «О внесении изменений и дополнений в некоторые постановления Министерства финансов Республики Беларусь и признании утратившими силу некоторых нормативных правовых актов Министерства финансов Республики Беларусь».</w:t>
      </w:r>
    </w:p>
    <w:p w:rsidR="00DB1B4E" w:rsidRPr="00DB1B4E" w:rsidRDefault="00DB1B4E" w:rsidP="00DB1B4E">
      <w:pPr>
        <w:pStyle w:val="point"/>
      </w:pPr>
      <w:r w:rsidRPr="00DB1B4E">
        <w:t>3. Настоящее постановление вступает в силу после его официального опубликования.</w:t>
      </w:r>
    </w:p>
    <w:p w:rsidR="00DB1B4E" w:rsidRPr="00DB1B4E" w:rsidRDefault="00DB1B4E" w:rsidP="00DB1B4E">
      <w:pPr>
        <w:pStyle w:val="newncpi"/>
      </w:pPr>
      <w:r w:rsidRPr="00DB1B4E">
        <w:t> </w:t>
      </w:r>
    </w:p>
    <w:tbl>
      <w:tblPr>
        <w:tblW w:w="5000" w:type="pct"/>
        <w:tblCellMar>
          <w:left w:w="0" w:type="dxa"/>
          <w:right w:w="0" w:type="dxa"/>
        </w:tblCellMar>
        <w:tblLook w:val="04A0" w:firstRow="1" w:lastRow="0" w:firstColumn="1" w:lastColumn="0" w:noHBand="0" w:noVBand="1"/>
      </w:tblPr>
      <w:tblGrid>
        <w:gridCol w:w="4683"/>
        <w:gridCol w:w="4684"/>
      </w:tblGrid>
      <w:tr w:rsidR="00DB1B4E" w:rsidRPr="00DB1B4E" w:rsidTr="00DB1B4E">
        <w:tc>
          <w:tcPr>
            <w:tcW w:w="2500" w:type="pct"/>
            <w:tcBorders>
              <w:top w:val="nil"/>
              <w:left w:val="nil"/>
              <w:bottom w:val="nil"/>
              <w:right w:val="nil"/>
            </w:tcBorders>
            <w:tcMar>
              <w:top w:w="0" w:type="dxa"/>
              <w:left w:w="6" w:type="dxa"/>
              <w:bottom w:w="0" w:type="dxa"/>
              <w:right w:w="6" w:type="dxa"/>
            </w:tcMar>
            <w:vAlign w:val="bottom"/>
            <w:hideMark/>
          </w:tcPr>
          <w:p w:rsidR="00DB1B4E" w:rsidRPr="00DB1B4E" w:rsidRDefault="00DB1B4E">
            <w:pPr>
              <w:pStyle w:val="newncpi0"/>
              <w:jc w:val="left"/>
            </w:pPr>
            <w:r w:rsidRPr="00DB1B4E">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DB1B4E" w:rsidRPr="00DB1B4E" w:rsidRDefault="00DB1B4E">
            <w:pPr>
              <w:pStyle w:val="newncpi0"/>
              <w:jc w:val="right"/>
            </w:pPr>
            <w:proofErr w:type="spellStart"/>
            <w:r w:rsidRPr="00DB1B4E">
              <w:rPr>
                <w:rStyle w:val="pers"/>
              </w:rPr>
              <w:t>М.Л.Ермолович</w:t>
            </w:r>
            <w:proofErr w:type="spellEnd"/>
          </w:p>
        </w:tc>
      </w:tr>
    </w:tbl>
    <w:p w:rsidR="00DB1B4E" w:rsidRPr="00DB1B4E" w:rsidRDefault="00DB1B4E" w:rsidP="00DB1B4E">
      <w:pPr>
        <w:pStyle w:val="newncpi0"/>
      </w:pPr>
      <w:r w:rsidRPr="00DB1B4E">
        <w:t> </w:t>
      </w:r>
    </w:p>
    <w:p w:rsidR="00ED0F71" w:rsidRDefault="00ED0F71"/>
    <w:sectPr w:rsidR="00ED0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1B4E"/>
    <w:rsid w:val="00DB1B4E"/>
    <w:rsid w:val="00ED0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F345"/>
  <w15:chartTrackingRefBased/>
  <w15:docId w15:val="{6866310A-5E35-44B8-9F64-3CBFBE89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1B4E"/>
    <w:rPr>
      <w:color w:val="0038C8"/>
      <w:u w:val="single"/>
    </w:rPr>
  </w:style>
  <w:style w:type="paragraph" w:customStyle="1" w:styleId="titlencpi">
    <w:name w:val="titlencpi"/>
    <w:basedOn w:val="a"/>
    <w:rsid w:val="00DB1B4E"/>
    <w:pPr>
      <w:spacing w:before="360" w:after="360" w:line="240" w:lineRule="auto"/>
      <w:ind w:right="2268"/>
    </w:pPr>
    <w:rPr>
      <w:rFonts w:ascii="Times New Roman" w:eastAsia="Times New Roman" w:hAnsi="Times New Roman" w:cs="Times New Roman"/>
      <w:b/>
      <w:bCs/>
      <w:sz w:val="24"/>
      <w:szCs w:val="24"/>
      <w:lang w:val="ru-BY" w:eastAsia="ru-BY"/>
    </w:rPr>
  </w:style>
  <w:style w:type="paragraph" w:customStyle="1" w:styleId="point">
    <w:name w:val="point"/>
    <w:basedOn w:val="a"/>
    <w:rsid w:val="00DB1B4E"/>
    <w:pPr>
      <w:spacing w:before="160" w:after="160" w:line="240" w:lineRule="auto"/>
      <w:ind w:firstLine="567"/>
      <w:jc w:val="both"/>
    </w:pPr>
    <w:rPr>
      <w:rFonts w:ascii="Times New Roman" w:eastAsia="Times New Roman" w:hAnsi="Times New Roman" w:cs="Times New Roman"/>
      <w:sz w:val="24"/>
      <w:szCs w:val="24"/>
      <w:lang w:val="ru-BY" w:eastAsia="ru-BY"/>
    </w:rPr>
  </w:style>
  <w:style w:type="paragraph" w:customStyle="1" w:styleId="underpoint">
    <w:name w:val="underpoint"/>
    <w:basedOn w:val="a"/>
    <w:rsid w:val="00DB1B4E"/>
    <w:pPr>
      <w:spacing w:before="160" w:after="160" w:line="240" w:lineRule="auto"/>
      <w:ind w:firstLine="567"/>
      <w:jc w:val="both"/>
    </w:pPr>
    <w:rPr>
      <w:rFonts w:ascii="Times New Roman" w:eastAsia="Times New Roman" w:hAnsi="Times New Roman" w:cs="Times New Roman"/>
      <w:sz w:val="24"/>
      <w:szCs w:val="24"/>
      <w:lang w:val="ru-BY" w:eastAsia="ru-BY"/>
    </w:rPr>
  </w:style>
  <w:style w:type="paragraph" w:customStyle="1" w:styleId="preamble">
    <w:name w:val="preamble"/>
    <w:basedOn w:val="a"/>
    <w:rsid w:val="00DB1B4E"/>
    <w:pPr>
      <w:spacing w:before="160" w:after="160" w:line="240" w:lineRule="auto"/>
      <w:ind w:firstLine="567"/>
      <w:jc w:val="both"/>
    </w:pPr>
    <w:rPr>
      <w:rFonts w:ascii="Times New Roman" w:eastAsia="Times New Roman" w:hAnsi="Times New Roman" w:cs="Times New Roman"/>
      <w:sz w:val="24"/>
      <w:szCs w:val="24"/>
      <w:lang w:val="ru-BY" w:eastAsia="ru-BY"/>
    </w:rPr>
  </w:style>
  <w:style w:type="paragraph" w:customStyle="1" w:styleId="newncpi">
    <w:name w:val="newncpi"/>
    <w:basedOn w:val="a"/>
    <w:rsid w:val="00DB1B4E"/>
    <w:pPr>
      <w:spacing w:before="160" w:after="160" w:line="240" w:lineRule="auto"/>
      <w:ind w:firstLine="567"/>
      <w:jc w:val="both"/>
    </w:pPr>
    <w:rPr>
      <w:rFonts w:ascii="Times New Roman" w:eastAsia="Times New Roman" w:hAnsi="Times New Roman" w:cs="Times New Roman"/>
      <w:sz w:val="24"/>
      <w:szCs w:val="24"/>
      <w:lang w:val="ru-BY" w:eastAsia="ru-BY"/>
    </w:rPr>
  </w:style>
  <w:style w:type="paragraph" w:customStyle="1" w:styleId="newncpi0">
    <w:name w:val="newncpi0"/>
    <w:basedOn w:val="a"/>
    <w:rsid w:val="00DB1B4E"/>
    <w:pPr>
      <w:spacing w:before="160" w:after="160" w:line="240" w:lineRule="auto"/>
      <w:jc w:val="both"/>
    </w:pPr>
    <w:rPr>
      <w:rFonts w:ascii="Times New Roman" w:eastAsia="Times New Roman" w:hAnsi="Times New Roman" w:cs="Times New Roman"/>
      <w:sz w:val="24"/>
      <w:szCs w:val="24"/>
      <w:lang w:val="ru-BY" w:eastAsia="ru-BY"/>
    </w:rPr>
  </w:style>
  <w:style w:type="character" w:customStyle="1" w:styleId="name">
    <w:name w:val="name"/>
    <w:basedOn w:val="a0"/>
    <w:rsid w:val="00DB1B4E"/>
    <w:rPr>
      <w:rFonts w:ascii="Times New Roman" w:hAnsi="Times New Roman" w:cs="Times New Roman" w:hint="default"/>
      <w:b/>
      <w:bCs/>
      <w:caps/>
    </w:rPr>
  </w:style>
  <w:style w:type="character" w:customStyle="1" w:styleId="promulgator">
    <w:name w:val="promulgator"/>
    <w:basedOn w:val="a0"/>
    <w:rsid w:val="00DB1B4E"/>
    <w:rPr>
      <w:rFonts w:ascii="Times New Roman" w:hAnsi="Times New Roman" w:cs="Times New Roman" w:hint="default"/>
      <w:b/>
      <w:bCs/>
      <w:caps/>
    </w:rPr>
  </w:style>
  <w:style w:type="character" w:customStyle="1" w:styleId="datepr">
    <w:name w:val="datepr"/>
    <w:basedOn w:val="a0"/>
    <w:rsid w:val="00DB1B4E"/>
    <w:rPr>
      <w:rFonts w:ascii="Times New Roman" w:hAnsi="Times New Roman" w:cs="Times New Roman" w:hint="default"/>
      <w:i/>
      <w:iCs/>
    </w:rPr>
  </w:style>
  <w:style w:type="character" w:customStyle="1" w:styleId="number">
    <w:name w:val="number"/>
    <w:basedOn w:val="a0"/>
    <w:rsid w:val="00DB1B4E"/>
    <w:rPr>
      <w:rFonts w:ascii="Times New Roman" w:hAnsi="Times New Roman" w:cs="Times New Roman" w:hint="default"/>
      <w:i/>
      <w:iCs/>
    </w:rPr>
  </w:style>
  <w:style w:type="character" w:customStyle="1" w:styleId="post">
    <w:name w:val="post"/>
    <w:basedOn w:val="a0"/>
    <w:rsid w:val="00DB1B4E"/>
    <w:rPr>
      <w:rFonts w:ascii="Times New Roman" w:hAnsi="Times New Roman" w:cs="Times New Roman" w:hint="default"/>
      <w:b/>
      <w:bCs/>
      <w:i/>
      <w:iCs/>
      <w:sz w:val="22"/>
      <w:szCs w:val="22"/>
    </w:rPr>
  </w:style>
  <w:style w:type="character" w:customStyle="1" w:styleId="pers">
    <w:name w:val="pers"/>
    <w:basedOn w:val="a0"/>
    <w:rsid w:val="00DB1B4E"/>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94659-1B65-4722-AE11-5449B8A142EC}"/>
</file>

<file path=customXml/itemProps2.xml><?xml version="1.0" encoding="utf-8"?>
<ds:datastoreItem xmlns:ds="http://schemas.openxmlformats.org/officeDocument/2006/customXml" ds:itemID="{134C637E-5617-4471-9189-1626789A6B93}"/>
</file>

<file path=customXml/itemProps3.xml><?xml version="1.0" encoding="utf-8"?>
<ds:datastoreItem xmlns:ds="http://schemas.openxmlformats.org/officeDocument/2006/customXml" ds:itemID="{4DAAE54D-DB9E-4CA8-886A-FC1E218BE87D}"/>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dc:creator>
  <cp:keywords/>
  <dc:description/>
  <cp:lastModifiedBy>Serge</cp:lastModifiedBy>
  <cp:revision>1</cp:revision>
  <dcterms:created xsi:type="dcterms:W3CDTF">2020-12-23T16:37:00Z</dcterms:created>
  <dcterms:modified xsi:type="dcterms:W3CDTF">2020-12-23T16:42:00Z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