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5A" w:rsidRPr="00F7405A" w:rsidRDefault="00F7405A" w:rsidP="00F7405A">
      <w:pPr>
        <w:pStyle w:val="a00"/>
        <w:rPr>
          <w:lang w:val="ru-RU"/>
        </w:rPr>
      </w:pPr>
      <w:bookmarkStart w:id="0" w:name="_GoBack"/>
      <w:bookmarkEnd w:id="0"/>
      <w:r w:rsidRPr="00F7405A">
        <w:t> </w:t>
      </w:r>
    </w:p>
    <w:p w:rsidR="00F7405A" w:rsidRPr="00F7405A" w:rsidRDefault="00F7405A" w:rsidP="00F7405A">
      <w:pPr>
        <w:pStyle w:val="a00"/>
        <w:jc w:val="center"/>
        <w:rPr>
          <w:lang w:val="ru-RU"/>
        </w:rPr>
      </w:pPr>
      <w:bookmarkStart w:id="1" w:name="a1"/>
      <w:bookmarkEnd w:id="1"/>
      <w:r w:rsidRPr="00F7405A">
        <w:rPr>
          <w:b/>
          <w:bCs/>
          <w:lang w:val="ru-RU"/>
        </w:rPr>
        <w:t>ПИСЬМО МИНИСТЕРСТВА ФИНАНСОВ РЕСПУБЛИКИ</w:t>
      </w:r>
      <w:r w:rsidRPr="00F7405A">
        <w:rPr>
          <w:b/>
          <w:bCs/>
        </w:rPr>
        <w:t> </w:t>
      </w:r>
      <w:r w:rsidRPr="00F7405A">
        <w:rPr>
          <w:b/>
          <w:bCs/>
          <w:lang w:val="ru-RU"/>
        </w:rPr>
        <w:t>БЕЛАРУСЬ</w:t>
      </w:r>
    </w:p>
    <w:p w:rsidR="00F7405A" w:rsidRPr="00F7405A" w:rsidRDefault="00F7405A" w:rsidP="00F7405A">
      <w:pPr>
        <w:pStyle w:val="a00"/>
        <w:jc w:val="center"/>
        <w:rPr>
          <w:lang w:val="ru-RU"/>
        </w:rPr>
      </w:pPr>
      <w:r w:rsidRPr="00F7405A">
        <w:rPr>
          <w:i/>
          <w:iCs/>
          <w:lang w:val="ru-RU"/>
        </w:rPr>
        <w:t>13</w:t>
      </w:r>
      <w:r w:rsidRPr="00F7405A">
        <w:rPr>
          <w:i/>
          <w:iCs/>
        </w:rPr>
        <w:t> </w:t>
      </w:r>
      <w:r w:rsidRPr="00F7405A">
        <w:rPr>
          <w:i/>
          <w:iCs/>
          <w:lang w:val="ru-RU"/>
        </w:rPr>
        <w:t>апреля 2007</w:t>
      </w:r>
      <w:r w:rsidRPr="00F7405A">
        <w:rPr>
          <w:i/>
          <w:iCs/>
        </w:rPr>
        <w:t> </w:t>
      </w:r>
      <w:r w:rsidRPr="00F7405A">
        <w:rPr>
          <w:i/>
          <w:iCs/>
          <w:lang w:val="ru-RU"/>
        </w:rPr>
        <w:t>г. №</w:t>
      </w:r>
      <w:r w:rsidRPr="00F7405A">
        <w:rPr>
          <w:i/>
          <w:iCs/>
        </w:rPr>
        <w:t> </w:t>
      </w:r>
      <w:r w:rsidRPr="00F7405A">
        <w:rPr>
          <w:i/>
          <w:iCs/>
          <w:lang w:val="ru-RU"/>
        </w:rPr>
        <w:t>15-11/235</w:t>
      </w:r>
    </w:p>
    <w:p w:rsidR="00F7405A" w:rsidRPr="00F7405A" w:rsidRDefault="00F7405A" w:rsidP="00F7405A">
      <w:pPr>
        <w:pStyle w:val="a00"/>
        <w:rPr>
          <w:lang w:val="ru-RU"/>
        </w:rPr>
      </w:pPr>
      <w:r w:rsidRPr="00F7405A">
        <w:t> </w:t>
      </w:r>
    </w:p>
    <w:p w:rsidR="00F7405A" w:rsidRPr="00F7405A" w:rsidRDefault="00F7405A" w:rsidP="00F7405A">
      <w:pPr>
        <w:pStyle w:val="nameleft"/>
        <w:rPr>
          <w:color w:val="auto"/>
          <w:lang w:val="ru-RU"/>
        </w:rPr>
      </w:pPr>
      <w:r w:rsidRPr="00F7405A">
        <w:rPr>
          <w:color w:val="auto"/>
          <w:lang w:val="ru-RU"/>
        </w:rPr>
        <w:t>О порядке отражения организациями,</w:t>
      </w:r>
      <w:r w:rsidRPr="00F7405A">
        <w:rPr>
          <w:color w:val="auto"/>
          <w:lang w:val="ru-RU"/>
        </w:rPr>
        <w:br/>
        <w:t>финансируемыми из бюджета, операций</w:t>
      </w:r>
      <w:r w:rsidRPr="00F7405A">
        <w:rPr>
          <w:color w:val="auto"/>
          <w:lang w:val="ru-RU"/>
        </w:rPr>
        <w:br/>
        <w:t>с пластиковыми банковскими карточками</w:t>
      </w:r>
    </w:p>
    <w:p w:rsidR="00F7405A" w:rsidRPr="00F7405A" w:rsidRDefault="00F7405A" w:rsidP="00F7405A">
      <w:pPr>
        <w:pStyle w:val="a4"/>
        <w:rPr>
          <w:lang w:val="ru-RU"/>
        </w:rPr>
      </w:pPr>
      <w:r w:rsidRPr="00F7405A">
        <w:t> 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В связи с поступающими запросами финансовых органов, бюджетных учреждений о порядке отражения в бухгалтерском учете расчетов с персоналом по выдаче наличных денежных средств с применением банковских пластиковых карточек Управление методологии бухгалтерского учета и отчетности Министерства финансов Республики Беларусь разъясняет следующее.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Инструкцией о порядке совершения операций с банковскими пластиковыми карточками, утвержденной постановлением Правления Национального банка Республики Беларусь от</w:t>
      </w:r>
      <w:r w:rsidRPr="00F7405A">
        <w:t> </w:t>
      </w:r>
      <w:r w:rsidRPr="00F7405A">
        <w:rPr>
          <w:lang w:val="ru-RU"/>
        </w:rPr>
        <w:t>30.04.2004 №</w:t>
      </w:r>
      <w:r w:rsidRPr="00F7405A">
        <w:t> </w:t>
      </w:r>
      <w:r w:rsidRPr="00F7405A">
        <w:rPr>
          <w:lang w:val="ru-RU"/>
        </w:rPr>
        <w:t>74, определено, что банковская пластиковая карточка (далее</w:t>
      </w:r>
      <w:r w:rsidRPr="00F7405A">
        <w:t> </w:t>
      </w:r>
      <w:r w:rsidRPr="00F7405A">
        <w:rPr>
          <w:lang w:val="ru-RU"/>
        </w:rPr>
        <w:t>- карточка)</w:t>
      </w:r>
      <w:r w:rsidRPr="00F7405A">
        <w:t> </w:t>
      </w:r>
      <w:r w:rsidRPr="00F7405A">
        <w:rPr>
          <w:lang w:val="ru-RU"/>
        </w:rPr>
        <w:t>- платежный инструмент, обеспечивающий доступ к банковскому счету и проведение безналичных платежей за товары и услуги, получение наличных денежных средств и осуществление иных операций в соответствии с законодательством Республики Беларусь.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Договор, заключаемый бюджетной организацией с АСБ</w:t>
      </w:r>
      <w:r w:rsidRPr="00F7405A">
        <w:t> </w:t>
      </w:r>
      <w:r w:rsidRPr="00F7405A">
        <w:rPr>
          <w:lang w:val="ru-RU"/>
        </w:rPr>
        <w:t>«Беларусбанк» на выплату денежной наличности, должен предусматривать и заключение договоров с каждым конкретным работником на открытие ему карт-счета.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Использование карточки регулируется законодательством Республики Беларусь, договором карт-счета и правилами пользования конкретной карточкой.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Держателем карточки является физическое лицо (работник), использующее карточку на основании договора карт-счета или доверенности владельца карт-счета.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Использование карточки</w:t>
      </w:r>
      <w:r w:rsidRPr="00F7405A">
        <w:t> </w:t>
      </w:r>
      <w:r w:rsidRPr="00F7405A">
        <w:rPr>
          <w:lang w:val="ru-RU"/>
        </w:rPr>
        <w:t>- совершение держателем с применением карточки либо ее реквизитов действий, в результате которых осуществляются безналичные расчеты и выдача наличных денежных средств с отражением данных операций по карт-счету, а также предоставление держателю различных информационных и иных услуг в зависимости от используемых участниками системы технологий при осуществлении операций с карточками.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Выдача наличных денег физическому лицу (работнику) производится пунктами выдачи наличных денег (ПВН) либо банкоматами.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Банкомат</w:t>
      </w:r>
      <w:r w:rsidRPr="00F7405A">
        <w:t> </w:t>
      </w:r>
      <w:r w:rsidRPr="00F7405A">
        <w:rPr>
          <w:lang w:val="ru-RU"/>
        </w:rPr>
        <w:t>- электронный программно-технический комплекс, обеспечивающий выдачу наличных денежных средств, совершение в соответствии с правилами банка других операций при использовании карточек, не противоречащих законодательству Республики Беларусь, а также регистрацию этих операций.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Операции совершаются в пределах хранящейся на карточке информации о сумме внесенных денежных средств либо о сумме предоставленного банком кредита (овердрафта).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Для отражения в бухгалтерском учете операций с использованием банковских пластиковых карточек организации составляют следующую корреспонденцию счетов: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lastRenderedPageBreak/>
        <w:t>1. Перечислены денежные средства АСБ «Беларусбанк» на выплату заработной платы: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Д-т 178 «Расчеты с прочими дебиторами и кредиторами»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К-т 100 «Текущий счет по бюджету», 111 «Текущий счет по бюджетным средствам».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Одновременно отражается выплата по банковской пластиковой карточке: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Д-т 180 «Расчеты с персоналом»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К-т 178 «Расчеты с прочими дебиторами и кредиторами».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Следует отметить, что в договоре, заключаемом с АСБ</w:t>
      </w:r>
      <w:r w:rsidRPr="00F7405A">
        <w:t> </w:t>
      </w:r>
      <w:r w:rsidRPr="00F7405A">
        <w:rPr>
          <w:lang w:val="ru-RU"/>
        </w:rPr>
        <w:t>«Беларусбанк» на выплату заработной платы и приравненных к ней платежей, необходимо предусмотреть пункт по взаимной сверке расчетов и их периодичность.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В отдельных случаях сберегательный банк может возвратить денежные средства назад отправителю (эта ситуация происходит, как правило, в случаях изменения фамилии после регистрации брака). В этом случае составляются следующие бухгалтерские записи: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Д-т 100 «Текущий счет по бюджету», 111 «Текущий счет по внебюджетным средствам»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К-т 178 «Расчеты с прочими дебиторами и кредиторами»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и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Д-т 178 «Расчеты с прочими дебиторами и кредиторами»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К-т 180 «Расчеты с персоналом».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Одновременно следует закрыть расчеты с работником, открыв при этом расчеты с депонентом и произвести записи в книгу аналитического учета депонированной зарплаты формы 441: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Д-т 180 «Расчеты с персоналом»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К-т 177 «Расчеты с депонентами».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При перечислении указанных сумм АСБ «Беларусбанк» (погашение задолженности перед депонентом) составляют следующие записи: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Д-т 178 «Расчеты с прочими дебиторами и кредиторами»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К-т 100 «Текущий счет по бюджету», 111 «Текущий счет по бюджетным средствам»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и одновременно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Д-т 177 «Расчеты с депонентом»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К-т 178 «Расчеты с прочими дебиторами и кредиторами».</w:t>
      </w:r>
    </w:p>
    <w:p w:rsidR="00F7405A" w:rsidRPr="00F7405A" w:rsidRDefault="00F7405A" w:rsidP="00F7405A">
      <w:pPr>
        <w:pStyle w:val="justify"/>
        <w:rPr>
          <w:lang w:val="ru-RU"/>
        </w:rPr>
      </w:pPr>
      <w:r w:rsidRPr="00F7405A">
        <w:rPr>
          <w:lang w:val="ru-RU"/>
        </w:rPr>
        <w:t>В книге аналитического учета депонированной заработной платы формы 441 напротив фамилии депонента производят запись о</w:t>
      </w:r>
      <w:r w:rsidRPr="00F7405A">
        <w:t> </w:t>
      </w:r>
      <w:r w:rsidRPr="00F7405A">
        <w:rPr>
          <w:lang w:val="ru-RU"/>
        </w:rPr>
        <w:t>погашении задолженности перед ним с указанием номера платежного документа и даты.</w:t>
      </w:r>
    </w:p>
    <w:p w:rsidR="00F7405A" w:rsidRPr="00F7405A" w:rsidRDefault="00F7405A" w:rsidP="00F7405A">
      <w:pPr>
        <w:pStyle w:val="a4"/>
        <w:rPr>
          <w:lang w:val="ru-RU"/>
        </w:rPr>
      </w:pPr>
      <w:r w:rsidRPr="00F7405A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4"/>
        <w:gridCol w:w="4845"/>
      </w:tblGrid>
      <w:tr w:rsidR="00F7405A" w:rsidRPr="00F7405A" w:rsidTr="00F7405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05A" w:rsidRPr="00F7405A" w:rsidRDefault="00F7405A">
            <w:pPr>
              <w:rPr>
                <w:lang w:val="ru-RU"/>
              </w:rPr>
            </w:pPr>
            <w:r w:rsidRPr="00F7405A">
              <w:rPr>
                <w:b/>
                <w:bCs/>
                <w:i/>
                <w:iCs/>
                <w:lang w:val="ru-RU"/>
              </w:rPr>
              <w:lastRenderedPageBreak/>
              <w:t>Начальник Управления</w:t>
            </w:r>
            <w:r w:rsidRPr="00F7405A">
              <w:rPr>
                <w:b/>
                <w:bCs/>
                <w:i/>
                <w:iCs/>
                <w:lang w:val="ru-RU"/>
              </w:rPr>
              <w:br/>
              <w:t>методологии бухгалтерского</w:t>
            </w:r>
            <w:r w:rsidRPr="00F7405A">
              <w:rPr>
                <w:b/>
                <w:bCs/>
                <w:i/>
                <w:iCs/>
                <w:lang w:val="ru-RU"/>
              </w:rPr>
              <w:br/>
              <w:t>учета и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05A" w:rsidRPr="00F7405A" w:rsidRDefault="00F7405A">
            <w:pPr>
              <w:jc w:val="right"/>
            </w:pPr>
            <w:r w:rsidRPr="00F7405A">
              <w:rPr>
                <w:b/>
                <w:bCs/>
                <w:i/>
                <w:iCs/>
                <w:lang w:val="ru-RU"/>
              </w:rPr>
              <w:br/>
            </w:r>
            <w:r w:rsidRPr="00F7405A">
              <w:rPr>
                <w:b/>
                <w:bCs/>
                <w:i/>
                <w:iCs/>
                <w:lang w:val="ru-RU"/>
              </w:rPr>
              <w:br/>
            </w:r>
            <w:r w:rsidRPr="00F7405A">
              <w:rPr>
                <w:b/>
                <w:bCs/>
                <w:i/>
                <w:iCs/>
              </w:rPr>
              <w:t>В.Е.Ванкевич</w:t>
            </w:r>
          </w:p>
        </w:tc>
      </w:tr>
    </w:tbl>
    <w:p w:rsidR="006F7853" w:rsidRDefault="006F7853"/>
    <w:sectPr w:rsidR="006F78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22" w:rsidRDefault="00500F22" w:rsidP="00C93E2B">
      <w:pPr>
        <w:spacing w:after="0" w:line="240" w:lineRule="auto"/>
      </w:pPr>
      <w:r>
        <w:separator/>
      </w:r>
    </w:p>
  </w:endnote>
  <w:endnote w:type="continuationSeparator" w:id="0">
    <w:p w:rsidR="00500F22" w:rsidRDefault="00500F22" w:rsidP="00C9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2B" w:rsidRDefault="00C93E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2B" w:rsidRDefault="00C93E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2B" w:rsidRDefault="00C93E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22" w:rsidRDefault="00500F22" w:rsidP="00C93E2B">
      <w:pPr>
        <w:spacing w:after="0" w:line="240" w:lineRule="auto"/>
      </w:pPr>
      <w:r>
        <w:separator/>
      </w:r>
    </w:p>
  </w:footnote>
  <w:footnote w:type="continuationSeparator" w:id="0">
    <w:p w:rsidR="00500F22" w:rsidRDefault="00500F22" w:rsidP="00C9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2B" w:rsidRDefault="00C93E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2B" w:rsidRDefault="00C93E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2B" w:rsidRDefault="00C93E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A"/>
    <w:rsid w:val="00500F22"/>
    <w:rsid w:val="006F7853"/>
    <w:rsid w:val="00C93E2B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05A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F7405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F7405A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7405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left">
    <w:name w:val="name_left"/>
    <w:basedOn w:val="a"/>
    <w:rsid w:val="00F7405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3E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E2B"/>
  </w:style>
  <w:style w:type="paragraph" w:styleId="a7">
    <w:name w:val="footer"/>
    <w:basedOn w:val="a"/>
    <w:link w:val="a8"/>
    <w:uiPriority w:val="99"/>
    <w:unhideWhenUsed/>
    <w:rsid w:val="00C93E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C26AD-2DB1-4203-A69C-19076F75F9FF}"/>
</file>

<file path=customXml/itemProps2.xml><?xml version="1.0" encoding="utf-8"?>
<ds:datastoreItem xmlns:ds="http://schemas.openxmlformats.org/officeDocument/2006/customXml" ds:itemID="{95926948-C1DD-43F5-A238-EB2706E894B5}"/>
</file>

<file path=customXml/itemProps3.xml><?xml version="1.0" encoding="utf-8"?>
<ds:datastoreItem xmlns:ds="http://schemas.openxmlformats.org/officeDocument/2006/customXml" ds:itemID="{E2BB5C31-A041-495C-B59F-3F865D5CC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2019-10-12T10:21:00Z</dcterms:created>
  <dcterms:modified xsi:type="dcterms:W3CDTF">2019-10-12T10:21:00Z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