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82" w:rsidRPr="000C1A82" w:rsidRDefault="000C1A82" w:rsidP="000C1A82">
      <w:pPr>
        <w:pStyle w:val="newncpi0"/>
        <w:jc w:val="center"/>
      </w:pPr>
      <w:bookmarkStart w:id="0" w:name="_GoBack"/>
      <w:bookmarkEnd w:id="0"/>
      <w:r w:rsidRPr="000C1A82">
        <w:t> </w:t>
      </w:r>
    </w:p>
    <w:p w:rsidR="000C1A82" w:rsidRPr="000C1A82" w:rsidRDefault="000C1A82" w:rsidP="000C1A82">
      <w:pPr>
        <w:pStyle w:val="newncpi0"/>
        <w:jc w:val="center"/>
      </w:pPr>
      <w:bookmarkStart w:id="1" w:name="a4"/>
      <w:bookmarkEnd w:id="1"/>
      <w:r w:rsidRPr="000C1A82">
        <w:rPr>
          <w:rStyle w:val="name"/>
        </w:rPr>
        <w:t>ПОСТАНОВЛЕНИЕ </w:t>
      </w:r>
      <w:r w:rsidRPr="000C1A82">
        <w:rPr>
          <w:rStyle w:val="promulgator"/>
        </w:rPr>
        <w:t>СОВЕТА ДИРЕКТОРОВ НАЦИОНАЛЬНОГО БАНКА РЕСПУБЛИКИ БЕЛАРУСЬ</w:t>
      </w:r>
    </w:p>
    <w:p w:rsidR="000C1A82" w:rsidRPr="000C1A82" w:rsidRDefault="000C1A82" w:rsidP="000C1A82">
      <w:pPr>
        <w:pStyle w:val="newncpi"/>
        <w:ind w:firstLine="0"/>
        <w:jc w:val="center"/>
      </w:pPr>
      <w:r w:rsidRPr="000C1A82">
        <w:rPr>
          <w:rStyle w:val="datepr"/>
        </w:rPr>
        <w:t>2 февраля 2010 г.</w:t>
      </w:r>
      <w:r w:rsidRPr="000C1A82">
        <w:rPr>
          <w:rStyle w:val="number"/>
        </w:rPr>
        <w:t xml:space="preserve"> № 30</w:t>
      </w:r>
    </w:p>
    <w:p w:rsidR="000C1A82" w:rsidRPr="000C1A82" w:rsidRDefault="000C1A82" w:rsidP="000C1A82">
      <w:pPr>
        <w:pStyle w:val="title"/>
      </w:pPr>
      <w:r w:rsidRPr="000C1A82">
        <w:t>Об утверждении Национального стандарта финансовой отчетности 8-F «Операционные сегменты» (НСФО 8-F)</w:t>
      </w:r>
    </w:p>
    <w:p w:rsidR="000C1A82" w:rsidRPr="000C1A82" w:rsidRDefault="000C1A82" w:rsidP="000C1A82">
      <w:pPr>
        <w:pStyle w:val="preamble"/>
      </w:pPr>
      <w:proofErr w:type="gramStart"/>
      <w:r w:rsidRPr="000C1A82">
        <w:t xml:space="preserve">В целях выполнения Основных направлений денежно-кредитной политики Республики Беларусь на 2010 год, утвержденных </w:t>
      </w:r>
      <w:r w:rsidRPr="000C1A82">
        <w:t>Указом</w:t>
      </w:r>
      <w:r w:rsidRPr="000C1A82">
        <w:t xml:space="preserve"> Президента Республики Беларусь от 7 декабря 2009 г. № 591, Программы развития банковского сектора экономики Республики Беларусь на 2006–2010 годы, утвержденной </w:t>
      </w:r>
      <w:r w:rsidRPr="000C1A82">
        <w:t>Указом</w:t>
      </w:r>
      <w:r w:rsidRPr="000C1A82">
        <w:t xml:space="preserve"> Президента Республики Беларусь от 15 января 2007 г. № 27, а также на основании </w:t>
      </w:r>
      <w:r w:rsidRPr="000C1A82">
        <w:t>статьи 26</w:t>
      </w:r>
      <w:r w:rsidRPr="000C1A82">
        <w:t xml:space="preserve"> Банковского кодекса Республики Беларусь Совет директоров Национального банка Республики Беларусь</w:t>
      </w:r>
      <w:proofErr w:type="gramEnd"/>
      <w:r w:rsidRPr="000C1A82">
        <w:t xml:space="preserve"> ПОСТАНОВЛЯЕТ:</w:t>
      </w:r>
    </w:p>
    <w:p w:rsidR="000C1A82" w:rsidRPr="000C1A82" w:rsidRDefault="000C1A82" w:rsidP="000C1A82">
      <w:pPr>
        <w:pStyle w:val="point"/>
      </w:pPr>
      <w:r w:rsidRPr="000C1A82">
        <w:t>1. Утвердить прилагаемый Национальный стандарт финансовой отчетности 8-F «Операционные сегменты» (НСФО 8-F).</w:t>
      </w:r>
    </w:p>
    <w:p w:rsidR="000C1A82" w:rsidRPr="000C1A82" w:rsidRDefault="000C1A82" w:rsidP="000C1A82">
      <w:pPr>
        <w:pStyle w:val="point"/>
      </w:pPr>
      <w:r w:rsidRPr="000C1A82">
        <w:t xml:space="preserve">2. Настоящее постановление вступает в силу </w:t>
      </w:r>
      <w:proofErr w:type="gramStart"/>
      <w:r w:rsidRPr="000C1A82">
        <w:t>с даты</w:t>
      </w:r>
      <w:proofErr w:type="gramEnd"/>
      <w:r w:rsidRPr="000C1A82">
        <w:t xml:space="preserve"> его принятия и применяется при составлении финансовой отчетности за 2010 год и последующие годы.</w:t>
      </w:r>
    </w:p>
    <w:p w:rsidR="000C1A82" w:rsidRPr="000C1A82" w:rsidRDefault="000C1A82" w:rsidP="000C1A82">
      <w:pPr>
        <w:pStyle w:val="newncpi"/>
      </w:pPr>
      <w:r w:rsidRPr="000C1A82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766"/>
        <w:gridCol w:w="3601"/>
      </w:tblGrid>
      <w:tr w:rsidR="000C1A82" w:rsidRPr="000C1A82" w:rsidTr="000C1A82">
        <w:tc>
          <w:tcPr>
            <w:tcW w:w="30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1A82" w:rsidRPr="000C1A82" w:rsidRDefault="000C1A82">
            <w:pPr>
              <w:pStyle w:val="newncpi0"/>
              <w:jc w:val="left"/>
            </w:pPr>
            <w:proofErr w:type="gramStart"/>
            <w:r w:rsidRPr="000C1A82">
              <w:rPr>
                <w:rStyle w:val="post"/>
              </w:rPr>
              <w:t>Исполняющий</w:t>
            </w:r>
            <w:proofErr w:type="gramEnd"/>
            <w:r w:rsidRPr="000C1A82">
              <w:rPr>
                <w:rStyle w:val="post"/>
              </w:rPr>
              <w:t xml:space="preserve"> обязанности Председателя Правления</w:t>
            </w:r>
          </w:p>
          <w:p w:rsidR="000C1A82" w:rsidRPr="000C1A82" w:rsidRDefault="000C1A82">
            <w:pPr>
              <w:rPr>
                <w:sz w:val="24"/>
                <w:szCs w:val="24"/>
              </w:rPr>
            </w:pPr>
            <w:r w:rsidRPr="000C1A82">
              <w:t> </w:t>
            </w:r>
          </w:p>
        </w:tc>
        <w:tc>
          <w:tcPr>
            <w:tcW w:w="192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1A82" w:rsidRPr="000C1A82" w:rsidRDefault="000C1A82">
            <w:pPr>
              <w:pStyle w:val="newncpi0"/>
              <w:jc w:val="right"/>
            </w:pPr>
            <w:proofErr w:type="spellStart"/>
            <w:r w:rsidRPr="000C1A82">
              <w:rPr>
                <w:rStyle w:val="pers"/>
              </w:rPr>
              <w:t>Ю.М.Алымов</w:t>
            </w:r>
            <w:proofErr w:type="spellEnd"/>
          </w:p>
          <w:p w:rsidR="000C1A82" w:rsidRPr="000C1A82" w:rsidRDefault="000C1A82">
            <w:pPr>
              <w:rPr>
                <w:sz w:val="24"/>
                <w:szCs w:val="24"/>
              </w:rPr>
            </w:pPr>
            <w:r w:rsidRPr="000C1A82">
              <w:t> </w:t>
            </w:r>
          </w:p>
        </w:tc>
      </w:tr>
    </w:tbl>
    <w:p w:rsidR="000C1A82" w:rsidRPr="000C1A82" w:rsidRDefault="000C1A82" w:rsidP="000C1A82">
      <w:pPr>
        <w:pStyle w:val="newncpi"/>
      </w:pPr>
      <w:r w:rsidRPr="000C1A82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25"/>
        <w:gridCol w:w="2342"/>
      </w:tblGrid>
      <w:tr w:rsidR="000C1A82" w:rsidRPr="000C1A82" w:rsidTr="000C1A82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A82" w:rsidRPr="000C1A82" w:rsidRDefault="000C1A82">
            <w:pPr>
              <w:pStyle w:val="newncpi"/>
            </w:pPr>
            <w:r w:rsidRPr="000C1A82">
              <w:t> </w:t>
            </w:r>
          </w:p>
          <w:p w:rsidR="000C1A82" w:rsidRPr="000C1A82" w:rsidRDefault="000C1A82">
            <w:pPr>
              <w:rPr>
                <w:sz w:val="24"/>
                <w:szCs w:val="24"/>
              </w:rPr>
            </w:pPr>
            <w:r w:rsidRPr="000C1A82"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A82" w:rsidRPr="000C1A82" w:rsidRDefault="000C1A82">
            <w:pPr>
              <w:pStyle w:val="capu1"/>
            </w:pPr>
            <w:r w:rsidRPr="000C1A82">
              <w:t>УТВЕРЖДЕНО</w:t>
            </w:r>
          </w:p>
          <w:p w:rsidR="000C1A82" w:rsidRPr="000C1A82" w:rsidRDefault="000C1A82">
            <w:pPr>
              <w:pStyle w:val="cap1"/>
            </w:pPr>
            <w:r w:rsidRPr="000C1A82">
              <w:t xml:space="preserve">Постановление </w:t>
            </w:r>
            <w:r w:rsidRPr="000C1A82">
              <w:br/>
              <w:t xml:space="preserve">Совета директоров </w:t>
            </w:r>
            <w:r w:rsidRPr="000C1A82">
              <w:br/>
              <w:t xml:space="preserve">Национального банка </w:t>
            </w:r>
            <w:r w:rsidRPr="000C1A82">
              <w:br/>
              <w:t>Республики Беларусь</w:t>
            </w:r>
          </w:p>
          <w:p w:rsidR="000C1A82" w:rsidRPr="000C1A82" w:rsidRDefault="000C1A82">
            <w:pPr>
              <w:pStyle w:val="cap1"/>
            </w:pPr>
            <w:r w:rsidRPr="000C1A82">
              <w:t>02.02.2010 № 30</w:t>
            </w:r>
          </w:p>
          <w:p w:rsidR="000C1A82" w:rsidRPr="000C1A82" w:rsidRDefault="000C1A82">
            <w:pPr>
              <w:rPr>
                <w:sz w:val="24"/>
                <w:szCs w:val="24"/>
              </w:rPr>
            </w:pPr>
            <w:r w:rsidRPr="000C1A82">
              <w:t> </w:t>
            </w:r>
          </w:p>
        </w:tc>
      </w:tr>
    </w:tbl>
    <w:p w:rsidR="000C1A82" w:rsidRPr="000C1A82" w:rsidRDefault="000C1A82" w:rsidP="000C1A82">
      <w:pPr>
        <w:pStyle w:val="titleu"/>
      </w:pPr>
      <w:bookmarkStart w:id="2" w:name="a3"/>
      <w:bookmarkEnd w:id="2"/>
      <w:r w:rsidRPr="000C1A82">
        <w:t>НАЦИОНАЛЬНЫЙ СТАНДАРТ</w:t>
      </w:r>
      <w:r w:rsidRPr="000C1A82">
        <w:br/>
        <w:t>финансовой отчетности 8-F «Операционные сегменты» (НСФО 8-F)</w:t>
      </w:r>
    </w:p>
    <w:p w:rsidR="000C1A82" w:rsidRPr="000C1A82" w:rsidRDefault="000C1A82" w:rsidP="000C1A82">
      <w:pPr>
        <w:pStyle w:val="chapter"/>
      </w:pPr>
      <w:r w:rsidRPr="000C1A82">
        <w:t>ГЛАВА 1</w:t>
      </w:r>
      <w:r w:rsidRPr="000C1A82">
        <w:br/>
        <w:t>ОБЩИЕ ПОЛОЖЕНИЯ</w:t>
      </w:r>
    </w:p>
    <w:p w:rsidR="000C1A82" w:rsidRPr="000C1A82" w:rsidRDefault="000C1A82" w:rsidP="000C1A82">
      <w:pPr>
        <w:pStyle w:val="point"/>
      </w:pPr>
      <w:r w:rsidRPr="000C1A82">
        <w:t>1. </w:t>
      </w:r>
      <w:proofErr w:type="gramStart"/>
      <w:r w:rsidRPr="000C1A82">
        <w:t xml:space="preserve">Национальный стандарт финансовой отчетности 8-F «Операционные сегменты» (НСФО 8-F) (далее – Стандарт) разработан в целях выполнения Основных направлений денежно-кредитной политики Республики Беларусь на 2010 год, утвержденных </w:t>
      </w:r>
      <w:r w:rsidRPr="000C1A82">
        <w:t>Указом</w:t>
      </w:r>
      <w:r w:rsidRPr="000C1A82">
        <w:t xml:space="preserve"> Президента Республики Беларусь от 7 декабря 2009 г. № 591 (Национальный реестр правовых актов Республики Беларусь, 2009 г., № 292, 1/11162), Программы развития банковского сектора экономики Республики Беларусь на 2006–2010 годы, утвержденной </w:t>
      </w:r>
      <w:r w:rsidRPr="000C1A82">
        <w:t>Указом</w:t>
      </w:r>
      <w:r w:rsidRPr="000C1A82">
        <w:t xml:space="preserve"> Президента Республики</w:t>
      </w:r>
      <w:proofErr w:type="gramEnd"/>
      <w:r w:rsidRPr="000C1A82">
        <w:t xml:space="preserve"> Беларусь от 15 января 2007 г. № 27 (Национальный реестр правовых актов Республики Беларусь, 2007 г., № 16, 1/8268), а также на основании </w:t>
      </w:r>
      <w:r w:rsidRPr="000C1A82">
        <w:t>статьи 26</w:t>
      </w:r>
      <w:r w:rsidRPr="000C1A82">
        <w:t xml:space="preserve"> Банковского кодекса Республики Беларусь и в соответствии с Международным стандартом финансовой отчетности 8 «Операционные сегменты», утвержденным Советом по международным стандартам финансовой отчетности.</w:t>
      </w:r>
    </w:p>
    <w:p w:rsidR="000C1A82" w:rsidRPr="000C1A82" w:rsidRDefault="000C1A82" w:rsidP="000C1A82">
      <w:pPr>
        <w:pStyle w:val="point"/>
      </w:pPr>
      <w:r w:rsidRPr="000C1A82">
        <w:t>2. </w:t>
      </w:r>
      <w:proofErr w:type="gramStart"/>
      <w:r w:rsidRPr="000C1A82">
        <w:t>Требования, установленные Стандартом, обязательны для исполнения Национальным банком Республики Беларусь, банками и небанковскими кредитно-финансовыми организациями Республики Беларусь, созданными в соответствии с законодательством (далее – банки).</w:t>
      </w:r>
      <w:proofErr w:type="gramEnd"/>
    </w:p>
    <w:p w:rsidR="000C1A82" w:rsidRPr="000C1A82" w:rsidRDefault="000C1A82" w:rsidP="000C1A82">
      <w:pPr>
        <w:pStyle w:val="point"/>
      </w:pPr>
      <w:r w:rsidRPr="000C1A82">
        <w:t>3. </w:t>
      </w:r>
      <w:proofErr w:type="gramStart"/>
      <w:r w:rsidRPr="000C1A82">
        <w:t>Цель Стандарта состоит в определении понятия операционных сегментов банка, подходов к классификации их в качестве отчетных, а также в установлении требований к представлению и раскрытию в финансовой отчетности банка информации, которая позволит пользователям финансовой отчетности оценить влияние различных направлений деятельности банка на его финансовое положение и финансовые результаты деятельности.</w:t>
      </w:r>
      <w:proofErr w:type="gramEnd"/>
    </w:p>
    <w:p w:rsidR="000C1A82" w:rsidRPr="000C1A82" w:rsidRDefault="000C1A82" w:rsidP="000C1A82">
      <w:pPr>
        <w:pStyle w:val="point"/>
      </w:pPr>
      <w:r w:rsidRPr="000C1A82">
        <w:t>4. Для целей Стандарта нижеперечисленные термины имеют следующие значения:</w:t>
      </w:r>
    </w:p>
    <w:p w:rsidR="000C1A82" w:rsidRPr="000C1A82" w:rsidRDefault="000C1A82" w:rsidP="000C1A82">
      <w:pPr>
        <w:pStyle w:val="newncpi"/>
      </w:pPr>
      <w:r w:rsidRPr="000C1A82">
        <w:lastRenderedPageBreak/>
        <w:t>управленческая отчетность – регулярная информация, используемая в банке в процессе планирования деятельности, принятия управленческих решений и контроля их исполнения;</w:t>
      </w:r>
    </w:p>
    <w:p w:rsidR="000C1A82" w:rsidRPr="000C1A82" w:rsidRDefault="000C1A82" w:rsidP="000C1A82">
      <w:pPr>
        <w:pStyle w:val="newncpi"/>
      </w:pPr>
      <w:proofErr w:type="gramStart"/>
      <w:r w:rsidRPr="000C1A82">
        <w:t>операционный сегмент – направление деятельности банка по совершению определенных видов операций, оказанию услуг, или в определенных географических регионах, которые являются источником доходов и расходов, и результаты которых на постоянной основе оцениваются и анализируются при распределении ресурсов и оценке результатов деятельности данного направления руководителем, отвечающим за принятие операционных решений, на основе управленческой отчетности.</w:t>
      </w:r>
      <w:proofErr w:type="gramEnd"/>
      <w:r w:rsidRPr="000C1A82">
        <w:t xml:space="preserve"> Операционным сегментом может быть признано направление деятельности банка, которое еще не является источником доходов, но их получение ожидается в </w:t>
      </w:r>
      <w:proofErr w:type="gramStart"/>
      <w:r w:rsidRPr="000C1A82">
        <w:t>будущем</w:t>
      </w:r>
      <w:proofErr w:type="gramEnd"/>
      <w:r w:rsidRPr="000C1A82">
        <w:t>;</w:t>
      </w:r>
    </w:p>
    <w:p w:rsidR="000C1A82" w:rsidRPr="000C1A82" w:rsidRDefault="000C1A82" w:rsidP="000C1A82">
      <w:pPr>
        <w:pStyle w:val="newncpi"/>
      </w:pPr>
      <w:r w:rsidRPr="000C1A82">
        <w:t xml:space="preserve">объединение операционных сегментов – группировка двух или более операционных сегментов, обладающих схожими экономическими характеристиками (вид совершаемых операций и оказываемых услуг, характер бизнес-процессов, тип клиентов, вид </w:t>
      </w:r>
      <w:proofErr w:type="gramStart"/>
      <w:r w:rsidRPr="000C1A82">
        <w:t>бизнес-линий</w:t>
      </w:r>
      <w:proofErr w:type="gramEnd"/>
      <w:r w:rsidRPr="000C1A82">
        <w:t>, нормативно-правовая среда), в один укрупненный операционный сегмент;</w:t>
      </w:r>
    </w:p>
    <w:p w:rsidR="000C1A82" w:rsidRPr="000C1A82" w:rsidRDefault="000C1A82" w:rsidP="000C1A82">
      <w:pPr>
        <w:pStyle w:val="newncpi"/>
      </w:pPr>
      <w:r w:rsidRPr="000C1A82">
        <w:t>отчетный сегмент – операционный сегмент, выделенный для целей раскрытия информации в финансовой отчетности в соответствии с требованиями Стандарта;</w:t>
      </w:r>
    </w:p>
    <w:p w:rsidR="000C1A82" w:rsidRPr="000C1A82" w:rsidRDefault="000C1A82" w:rsidP="000C1A82">
      <w:pPr>
        <w:pStyle w:val="newncpi"/>
      </w:pPr>
      <w:r w:rsidRPr="000C1A82">
        <w:t>руководитель, отвечающий за принятие операционных решений, – лицо (лица), уполномоченный орган банка, осуществляющие функции распределения ресурсов по операционным сегментам и оценки результатов их деятельности;</w:t>
      </w:r>
    </w:p>
    <w:p w:rsidR="000C1A82" w:rsidRPr="000C1A82" w:rsidRDefault="000C1A82" w:rsidP="000C1A82">
      <w:pPr>
        <w:pStyle w:val="newncpi"/>
      </w:pPr>
      <w:r w:rsidRPr="000C1A82">
        <w:t>внешние клиенты – контрагенты по совершаемым операциям, оказываемым услугам операционного сегмента, за исключением совершаемых операций и оказываемых услуг между операционными сегментами;</w:t>
      </w:r>
    </w:p>
    <w:p w:rsidR="000C1A82" w:rsidRPr="000C1A82" w:rsidRDefault="000C1A82" w:rsidP="000C1A82">
      <w:pPr>
        <w:pStyle w:val="newncpi"/>
      </w:pPr>
      <w:proofErr w:type="gramStart"/>
      <w:r w:rsidRPr="000C1A82">
        <w:t xml:space="preserve">финансовая отчетность – отчетность, составленная в соответствии с Национальным </w:t>
      </w:r>
      <w:r w:rsidRPr="000C1A82">
        <w:t>стандартом</w:t>
      </w:r>
      <w:r w:rsidRPr="000C1A82">
        <w:t xml:space="preserve"> финансовой отчетности 1 «Представление финансовой отчетности» (НСФО 1), утвержденным постановлением Совета директоров Национального банка Республики Беларусь от 28 сентября 2007 г. № 300 (далее – НСФО 1).</w:t>
      </w:r>
      <w:proofErr w:type="gramEnd"/>
    </w:p>
    <w:p w:rsidR="000C1A82" w:rsidRPr="000C1A82" w:rsidRDefault="000C1A82" w:rsidP="000C1A82">
      <w:pPr>
        <w:pStyle w:val="newncpi"/>
      </w:pPr>
      <w:r w:rsidRPr="000C1A82">
        <w:t xml:space="preserve">Термин «долгосрочный актив» имеет значение, определенное Национальным </w:t>
      </w:r>
      <w:r w:rsidRPr="000C1A82">
        <w:t>стандартом</w:t>
      </w:r>
      <w:r w:rsidRPr="000C1A82">
        <w:t xml:space="preserve"> финансовой отчетности 5-F «Долгосрочные активы, предназначенные для продажи, и прекращенная деятельность» (НСФО 5-F), утвержденным постановлением Совета директоров Национального банка Республики Беларусь от 21 марта 2008 г. № 77.</w:t>
      </w:r>
    </w:p>
    <w:p w:rsidR="000C1A82" w:rsidRPr="000C1A82" w:rsidRDefault="000C1A82" w:rsidP="000C1A82">
      <w:pPr>
        <w:pStyle w:val="newncpi"/>
      </w:pPr>
      <w:r w:rsidRPr="000C1A82">
        <w:t xml:space="preserve">Термин «контроль» имеет значение, определенное Национальным </w:t>
      </w:r>
      <w:r w:rsidRPr="000C1A82">
        <w:t>стандартом</w:t>
      </w:r>
      <w:r w:rsidRPr="000C1A82">
        <w:t xml:space="preserve"> финансовой отчетности 27 «Консолидированная и отдельная финансовая отчетность» (НСФО 27), утвержденным постановлением Совета директоров Национального банка Республики Беларусь от 27 декабря 2007 г. № 408.</w:t>
      </w:r>
    </w:p>
    <w:p w:rsidR="000C1A82" w:rsidRPr="000C1A82" w:rsidRDefault="000C1A82" w:rsidP="000C1A82">
      <w:pPr>
        <w:pStyle w:val="newncpi"/>
      </w:pPr>
      <w:proofErr w:type="gramStart"/>
      <w:r w:rsidRPr="000C1A82">
        <w:t xml:space="preserve">Термины «зависимое юридическое лицо», «метод долевого участия» имеют значения, определенные Национальным </w:t>
      </w:r>
      <w:r w:rsidRPr="000C1A82">
        <w:t>стандартом</w:t>
      </w:r>
      <w:r w:rsidRPr="000C1A82">
        <w:t xml:space="preserve"> финансовой отчетности 28 «Инвестиции в зависимые юридические лица» (НСФО 28), утвержденным постановлением Совета директоров Национального банка Республики Беларусь от 27 декабря 2007 г. № 409.</w:t>
      </w:r>
      <w:proofErr w:type="gramEnd"/>
    </w:p>
    <w:p w:rsidR="000C1A82" w:rsidRPr="000C1A82" w:rsidRDefault="000C1A82" w:rsidP="000C1A82">
      <w:pPr>
        <w:pStyle w:val="newncpi"/>
      </w:pPr>
      <w:r w:rsidRPr="000C1A82">
        <w:t xml:space="preserve">Термин «совместно контролируемое юридическое лицо» имеет значение, определенное Национальным </w:t>
      </w:r>
      <w:r w:rsidRPr="000C1A82">
        <w:t>стандартом</w:t>
      </w:r>
      <w:r w:rsidRPr="000C1A82">
        <w:t xml:space="preserve"> финансовой отчетности 31 «Участие в совместной деятельности» (НСФО 31), утвержденным постановлением Совета директоров Национального банка Республики Беларусь от 27 декабря 2007 г. № 410.</w:t>
      </w:r>
    </w:p>
    <w:p w:rsidR="000C1A82" w:rsidRPr="000C1A82" w:rsidRDefault="000C1A82" w:rsidP="000C1A82">
      <w:pPr>
        <w:pStyle w:val="point"/>
      </w:pPr>
      <w:r w:rsidRPr="000C1A82">
        <w:t xml:space="preserve">5. Информация по операционным сегментам, классифицированным банком и соответствующим определению отчетного сегмента в </w:t>
      </w:r>
      <w:proofErr w:type="gramStart"/>
      <w:r w:rsidRPr="000C1A82">
        <w:t>соответствии</w:t>
      </w:r>
      <w:proofErr w:type="gramEnd"/>
      <w:r w:rsidRPr="000C1A82">
        <w:t xml:space="preserve"> с требованиями Стандарта, раскрывается в его индивидуальной финансовой отчетности, консолидированной финансовой отчетности (далее – финансовая отчетность).</w:t>
      </w:r>
    </w:p>
    <w:p w:rsidR="000C1A82" w:rsidRPr="000C1A82" w:rsidRDefault="000C1A82" w:rsidP="000C1A82">
      <w:pPr>
        <w:pStyle w:val="point"/>
      </w:pPr>
      <w:r w:rsidRPr="000C1A82">
        <w:t>6. Идентификация (выделение) операционных сегментов осуществляется исходя из сущности их определения. В основе идентификации того или иного направления деятельности банка в качестве операционного сегмента лежит наличие управленческой отчетности и ее регулярное использование руководителем, отвечающим за принятие операционных решений в целях распределения ресурсов и оценки результатов деятельности данного направления.</w:t>
      </w:r>
    </w:p>
    <w:p w:rsidR="000C1A82" w:rsidRPr="000C1A82" w:rsidRDefault="000C1A82" w:rsidP="000C1A82">
      <w:pPr>
        <w:pStyle w:val="newncpi"/>
      </w:pPr>
      <w:r w:rsidRPr="000C1A82">
        <w:t xml:space="preserve">Какое-либо направление деятельности банка может одновременно быть выделено как с точки зрения совершения определенного вида операций, оказания услуг, так и с </w:t>
      </w:r>
      <w:r w:rsidRPr="000C1A82">
        <w:lastRenderedPageBreak/>
        <w:t xml:space="preserve">точки зрения деятельности в определенном географическом </w:t>
      </w:r>
      <w:proofErr w:type="gramStart"/>
      <w:r w:rsidRPr="000C1A82">
        <w:t>регионе</w:t>
      </w:r>
      <w:proofErr w:type="gramEnd"/>
      <w:r w:rsidRPr="000C1A82">
        <w:t>, и по каждому из направлений деятельности предоставляется управленческая отчетность. При этом банк самостоятельно определяет подходы к выделению того или иного направления деятельности в качестве операционного сегмента исходя из полезности информации о нем для пользователей финансовой отчетности.</w:t>
      </w:r>
    </w:p>
    <w:p w:rsidR="000C1A82" w:rsidRPr="000C1A82" w:rsidRDefault="000C1A82" w:rsidP="000C1A82">
      <w:pPr>
        <w:pStyle w:val="newncpi"/>
      </w:pPr>
      <w:r w:rsidRPr="000C1A82">
        <w:t xml:space="preserve">Принятие решений при идентификации операционных сегментов осуществляется по примерной схеме согласно </w:t>
      </w:r>
      <w:r w:rsidRPr="000C1A82">
        <w:t>приложению</w:t>
      </w:r>
      <w:r w:rsidRPr="000C1A82">
        <w:t xml:space="preserve"> к Стандарту.</w:t>
      </w:r>
    </w:p>
    <w:p w:rsidR="000C1A82" w:rsidRPr="000C1A82" w:rsidRDefault="000C1A82" w:rsidP="000C1A82">
      <w:pPr>
        <w:pStyle w:val="newncpi"/>
      </w:pPr>
      <w:r w:rsidRPr="000C1A82">
        <w:t xml:space="preserve">Идентифицированные банком операционные сегменты классифицируются в </w:t>
      </w:r>
      <w:proofErr w:type="gramStart"/>
      <w:r w:rsidRPr="000C1A82">
        <w:t>качестве</w:t>
      </w:r>
      <w:proofErr w:type="gramEnd"/>
      <w:r w:rsidRPr="000C1A82">
        <w:t xml:space="preserve"> отчетных сегментов в порядке, установленном главой 2 Стандарта.</w:t>
      </w:r>
    </w:p>
    <w:p w:rsidR="000C1A82" w:rsidRPr="000C1A82" w:rsidRDefault="000C1A82" w:rsidP="000C1A82">
      <w:pPr>
        <w:pStyle w:val="chapter"/>
      </w:pPr>
      <w:r w:rsidRPr="000C1A82">
        <w:t>ГЛАВА 2</w:t>
      </w:r>
      <w:r w:rsidRPr="000C1A82">
        <w:br/>
        <w:t>КРИТЕРИИ КЛАССИФИКАЦИИ ОПЕРАЦИОННЫХ СЕГМЕНТОВ КАК ОТЧЕТНЫХ СЕГМЕНТОВ</w:t>
      </w:r>
    </w:p>
    <w:p w:rsidR="000C1A82" w:rsidRPr="000C1A82" w:rsidRDefault="000C1A82" w:rsidP="000C1A82">
      <w:pPr>
        <w:pStyle w:val="point"/>
      </w:pPr>
      <w:r w:rsidRPr="000C1A82">
        <w:t>7. Банк классифицирует операционный сегмент как отчетный сегмент при наличии хотя бы одного из следующих условий:</w:t>
      </w:r>
    </w:p>
    <w:p w:rsidR="000C1A82" w:rsidRPr="000C1A82" w:rsidRDefault="000C1A82" w:rsidP="000C1A82">
      <w:pPr>
        <w:pStyle w:val="newncpi"/>
      </w:pPr>
      <w:r w:rsidRPr="000C1A82">
        <w:t>размер доходов операционного сегмента (включая доходы от внешних клиентов и от других операционных сегментов) составляет не менее 10 процентов величины совокупных доходов всех операционных сегментов за один и тот же отчетный период;</w:t>
      </w:r>
    </w:p>
    <w:p w:rsidR="000C1A82" w:rsidRPr="000C1A82" w:rsidRDefault="000C1A82" w:rsidP="000C1A82">
      <w:pPr>
        <w:pStyle w:val="newncpi"/>
      </w:pPr>
      <w:r w:rsidRPr="000C1A82">
        <w:t>величина прибыли или убытка операционного сегмента составляет не менее 10 процентов наибольшей из величин совокупной прибыли всех прибыльных операционных сегментов или совокупного убытка всех убыточных операционных сегментов за один и тот же отчетный период;</w:t>
      </w:r>
    </w:p>
    <w:p w:rsidR="000C1A82" w:rsidRPr="000C1A82" w:rsidRDefault="000C1A82" w:rsidP="000C1A82">
      <w:pPr>
        <w:pStyle w:val="newncpi"/>
      </w:pPr>
      <w:r w:rsidRPr="000C1A82">
        <w:t>величина активов операционного сегмента составляет не менее 10 процентов совокупной величины активов всех операционных сегментов за один и тот же отчетный период.</w:t>
      </w:r>
    </w:p>
    <w:p w:rsidR="000C1A82" w:rsidRPr="000C1A82" w:rsidRDefault="000C1A82" w:rsidP="000C1A82">
      <w:pPr>
        <w:pStyle w:val="newncpi"/>
      </w:pPr>
      <w:r w:rsidRPr="000C1A82">
        <w:t>Банк может принять решение о классификации операционного сегмента в качестве отчетного при несоблюдении вышеприведенных критериев, приведенных в части первой настоящего пункта, если информация о данном сегменте является полезной для пользователей финансовой отчетности.</w:t>
      </w:r>
    </w:p>
    <w:p w:rsidR="000C1A82" w:rsidRPr="000C1A82" w:rsidRDefault="000C1A82" w:rsidP="000C1A82">
      <w:pPr>
        <w:pStyle w:val="point"/>
      </w:pPr>
      <w:bookmarkStart w:id="3" w:name="a2"/>
      <w:bookmarkEnd w:id="3"/>
      <w:r w:rsidRPr="000C1A82">
        <w:t>8. Операционные сегменты, не отвечающие условиям части первой пункта 7 Стандарта, могут быть объединены в один укрупненный операционный сегмент (объединение операционных сегментов) в целях классификации его в качестве отчетного сегмента.</w:t>
      </w:r>
    </w:p>
    <w:p w:rsidR="000C1A82" w:rsidRPr="000C1A82" w:rsidRDefault="000C1A82" w:rsidP="000C1A82">
      <w:pPr>
        <w:pStyle w:val="point"/>
      </w:pPr>
      <w:r w:rsidRPr="000C1A82">
        <w:t>9. В случае</w:t>
      </w:r>
      <w:proofErr w:type="gramStart"/>
      <w:r w:rsidRPr="000C1A82">
        <w:t>,</w:t>
      </w:r>
      <w:proofErr w:type="gramEnd"/>
      <w:r w:rsidRPr="000C1A82">
        <w:t xml:space="preserve"> если совокупная величина всех доходов от внешних клиентов отчетных сегментов составляет менее 75 процентов величины доходов банка, банк классифицирует в качестве отчетных сегментов дополнительные операционные сегменты, которые не отвечают требованиям пунктов 7 и 8 Стандарта до тех пор, пока совокупная величина доходов от внешних клиентов отчетных сегментов не достигнет 75 или более процентов от величины доходов банка.</w:t>
      </w:r>
    </w:p>
    <w:p w:rsidR="000C1A82" w:rsidRPr="000C1A82" w:rsidRDefault="000C1A82" w:rsidP="000C1A82">
      <w:pPr>
        <w:pStyle w:val="point"/>
      </w:pPr>
      <w:r w:rsidRPr="000C1A82">
        <w:t xml:space="preserve">10. В целях </w:t>
      </w:r>
      <w:proofErr w:type="spellStart"/>
      <w:r w:rsidRPr="000C1A82">
        <w:t>избежания</w:t>
      </w:r>
      <w:proofErr w:type="spellEnd"/>
      <w:r w:rsidRPr="000C1A82">
        <w:t xml:space="preserve"> излишней детализации представляемой в финансовой отчетности информации, общее количество классифицированных отчетных сегментов должно быть, как правило, не более десяти. В случае</w:t>
      </w:r>
      <w:proofErr w:type="gramStart"/>
      <w:r w:rsidRPr="000C1A82">
        <w:t>,</w:t>
      </w:r>
      <w:proofErr w:type="gramEnd"/>
      <w:r w:rsidRPr="000C1A82">
        <w:t xml:space="preserve"> если общее количество классифицированных отчетных сегментов больше десяти, их перечень пересматривается с точки зрения возможности их объединения (укрупнения).</w:t>
      </w:r>
    </w:p>
    <w:p w:rsidR="000C1A82" w:rsidRPr="000C1A82" w:rsidRDefault="000C1A82" w:rsidP="000C1A82">
      <w:pPr>
        <w:pStyle w:val="chapter"/>
      </w:pPr>
      <w:r w:rsidRPr="000C1A82">
        <w:t>ГЛАВА 3</w:t>
      </w:r>
      <w:r w:rsidRPr="000C1A82">
        <w:br/>
        <w:t>ПРЕДСТАВЛЕНИЕ И РАСКРЫТИЕ ИНФОРМАЦИИ ПО ОТЧЕТНЫМ СЕГМЕНТАМ</w:t>
      </w:r>
    </w:p>
    <w:p w:rsidR="000C1A82" w:rsidRPr="000C1A82" w:rsidRDefault="000C1A82" w:rsidP="000C1A82">
      <w:pPr>
        <w:pStyle w:val="point"/>
      </w:pPr>
      <w:r w:rsidRPr="000C1A82">
        <w:t xml:space="preserve">11. Банк </w:t>
      </w:r>
      <w:proofErr w:type="gramStart"/>
      <w:r w:rsidRPr="000C1A82">
        <w:t>представляет и раскрывает</w:t>
      </w:r>
      <w:proofErr w:type="gramEnd"/>
      <w:r w:rsidRPr="000C1A82">
        <w:t xml:space="preserve"> в финансовой отчетности информацию, позволяющую пользователям его финансовой отчетности оценить финансовое состояние и финансовые результаты деятельности банка по отчетным сегментам на отчетную дату.</w:t>
      </w:r>
    </w:p>
    <w:p w:rsidR="000C1A82" w:rsidRPr="000C1A82" w:rsidRDefault="000C1A82" w:rsidP="000C1A82">
      <w:pPr>
        <w:pStyle w:val="newncpi"/>
      </w:pPr>
      <w:r w:rsidRPr="000C1A82">
        <w:t>По каждому отчетному сегменту раскрывается:</w:t>
      </w:r>
    </w:p>
    <w:p w:rsidR="000C1A82" w:rsidRPr="000C1A82" w:rsidRDefault="000C1A82" w:rsidP="000C1A82">
      <w:pPr>
        <w:pStyle w:val="newncpi"/>
      </w:pPr>
      <w:r w:rsidRPr="000C1A82">
        <w:t>информация общего характера;</w:t>
      </w:r>
    </w:p>
    <w:p w:rsidR="000C1A82" w:rsidRPr="000C1A82" w:rsidRDefault="000C1A82" w:rsidP="000C1A82">
      <w:pPr>
        <w:pStyle w:val="newncpi"/>
      </w:pPr>
      <w:r w:rsidRPr="000C1A82">
        <w:t>информация о его прибыли или убытке, об отнесенных к нему активах и обязательствах и о подходах, применяемых к формированию его прибыли или убытка, и об оценке его активов и обязательств.</w:t>
      </w:r>
    </w:p>
    <w:p w:rsidR="000C1A82" w:rsidRPr="000C1A82" w:rsidRDefault="000C1A82" w:rsidP="000C1A82">
      <w:pPr>
        <w:pStyle w:val="newncpi"/>
      </w:pPr>
      <w:r w:rsidRPr="000C1A82">
        <w:lastRenderedPageBreak/>
        <w:t xml:space="preserve">Банк </w:t>
      </w:r>
      <w:proofErr w:type="gramStart"/>
      <w:r w:rsidRPr="000C1A82">
        <w:t>представляет и раскрывает</w:t>
      </w:r>
      <w:proofErr w:type="gramEnd"/>
      <w:r w:rsidRPr="000C1A82">
        <w:t xml:space="preserve"> в финансовой отчетности информацию о направлениях деятельности, не идентифицированных как операционные сегменты, и об операционных сегментах, которые не классифицированы как отчетные (далее – прочие операционные сегменты), обобщенно (общей суммой).</w:t>
      </w:r>
    </w:p>
    <w:p w:rsidR="000C1A82" w:rsidRPr="000C1A82" w:rsidRDefault="000C1A82" w:rsidP="000C1A82">
      <w:pPr>
        <w:pStyle w:val="point"/>
      </w:pPr>
      <w:r w:rsidRPr="000C1A82">
        <w:t>12. Информация общего характера по каждому отчетному сегменту должна содержать сведения:</w:t>
      </w:r>
    </w:p>
    <w:p w:rsidR="000C1A82" w:rsidRPr="000C1A82" w:rsidRDefault="000C1A82" w:rsidP="000C1A82">
      <w:pPr>
        <w:pStyle w:val="newncpi"/>
      </w:pPr>
      <w:r w:rsidRPr="000C1A82">
        <w:t>о критериях, в соответствии с которыми операционный сегмент классифицирован в качестве отчетного;</w:t>
      </w:r>
    </w:p>
    <w:p w:rsidR="000C1A82" w:rsidRPr="000C1A82" w:rsidRDefault="000C1A82" w:rsidP="000C1A82">
      <w:pPr>
        <w:pStyle w:val="newncpi"/>
      </w:pPr>
      <w:r w:rsidRPr="000C1A82">
        <w:t xml:space="preserve">о произведенном в соответствии с </w:t>
      </w:r>
      <w:r w:rsidRPr="000C1A82">
        <w:t>пунктом 8</w:t>
      </w:r>
      <w:r w:rsidRPr="000C1A82">
        <w:t xml:space="preserve"> Стандарта объединении операционных сегментов;</w:t>
      </w:r>
    </w:p>
    <w:p w:rsidR="000C1A82" w:rsidRPr="000C1A82" w:rsidRDefault="000C1A82" w:rsidP="000C1A82">
      <w:pPr>
        <w:pStyle w:val="newncpi"/>
      </w:pPr>
      <w:r w:rsidRPr="000C1A82">
        <w:t xml:space="preserve">о видах совершаемых операций и оказываемых услуг, характере бизнес-процессов, типах клиентов, видах </w:t>
      </w:r>
      <w:proofErr w:type="gramStart"/>
      <w:r w:rsidRPr="000C1A82">
        <w:t>бизнес-линий</w:t>
      </w:r>
      <w:proofErr w:type="gramEnd"/>
      <w:r w:rsidRPr="000C1A82">
        <w:t>, от которых формируются доходы операционного сегмента.</w:t>
      </w:r>
    </w:p>
    <w:p w:rsidR="000C1A82" w:rsidRPr="000C1A82" w:rsidRDefault="000C1A82" w:rsidP="000C1A82">
      <w:pPr>
        <w:pStyle w:val="point"/>
      </w:pPr>
      <w:r w:rsidRPr="000C1A82">
        <w:t>13. Информация о прибыли или убытке, активах и обязательствах каждого отчетного сегмента должна содержать сведения:</w:t>
      </w:r>
    </w:p>
    <w:p w:rsidR="000C1A82" w:rsidRPr="000C1A82" w:rsidRDefault="000C1A82" w:rsidP="000C1A82">
      <w:pPr>
        <w:pStyle w:val="newncpi"/>
      </w:pPr>
      <w:r w:rsidRPr="000C1A82">
        <w:t>о его прибыли или убытке;</w:t>
      </w:r>
    </w:p>
    <w:p w:rsidR="000C1A82" w:rsidRPr="000C1A82" w:rsidRDefault="000C1A82" w:rsidP="000C1A82">
      <w:pPr>
        <w:pStyle w:val="newncpi"/>
      </w:pPr>
      <w:r w:rsidRPr="000C1A82">
        <w:t>об отнесенных к нему активах;</w:t>
      </w:r>
    </w:p>
    <w:p w:rsidR="000C1A82" w:rsidRPr="000C1A82" w:rsidRDefault="000C1A82" w:rsidP="000C1A82">
      <w:pPr>
        <w:pStyle w:val="newncpi"/>
      </w:pPr>
      <w:r w:rsidRPr="000C1A82">
        <w:t>об отнесенных к нему обязательствах (в случае, если информация об обязательствах предоставляется в управленческой отчетности).</w:t>
      </w:r>
    </w:p>
    <w:p w:rsidR="000C1A82" w:rsidRPr="000C1A82" w:rsidRDefault="000C1A82" w:rsidP="000C1A82">
      <w:pPr>
        <w:pStyle w:val="newncpi"/>
      </w:pPr>
      <w:r w:rsidRPr="000C1A82">
        <w:t>Величина каждой раскрываемой суммы должна быть тождественна аналогичным данным управленческой отчетности.</w:t>
      </w:r>
    </w:p>
    <w:p w:rsidR="000C1A82" w:rsidRPr="000C1A82" w:rsidRDefault="000C1A82" w:rsidP="000C1A82">
      <w:pPr>
        <w:pStyle w:val="point"/>
      </w:pPr>
      <w:r w:rsidRPr="000C1A82">
        <w:t>14. Наряду с информацией о прибыли или убытке по каждому отчетному сегменту приводятся данные:</w:t>
      </w:r>
    </w:p>
    <w:p w:rsidR="000C1A82" w:rsidRPr="000C1A82" w:rsidRDefault="000C1A82" w:rsidP="000C1A82">
      <w:pPr>
        <w:pStyle w:val="newncpi"/>
      </w:pPr>
      <w:r w:rsidRPr="000C1A82">
        <w:t>о доходах и расходах от совершаемых операций и оказываемых услуг внешним клиентам;</w:t>
      </w:r>
    </w:p>
    <w:p w:rsidR="000C1A82" w:rsidRPr="000C1A82" w:rsidRDefault="000C1A82" w:rsidP="000C1A82">
      <w:pPr>
        <w:pStyle w:val="newncpi"/>
      </w:pPr>
      <w:r w:rsidRPr="000C1A82">
        <w:t>о доходах и расходах от совершаемых операций и оказываемых услуг другим операционным сегментам;</w:t>
      </w:r>
    </w:p>
    <w:p w:rsidR="000C1A82" w:rsidRPr="000C1A82" w:rsidRDefault="000C1A82" w:rsidP="000C1A82">
      <w:pPr>
        <w:pStyle w:val="newncpi"/>
      </w:pPr>
      <w:r w:rsidRPr="000C1A82">
        <w:t>о процентных доходах и процентных расходах;</w:t>
      </w:r>
    </w:p>
    <w:p w:rsidR="000C1A82" w:rsidRPr="000C1A82" w:rsidRDefault="000C1A82" w:rsidP="000C1A82">
      <w:pPr>
        <w:pStyle w:val="newncpi"/>
      </w:pPr>
      <w:r w:rsidRPr="000C1A82">
        <w:t>о существенных статьях доходов и расходов, раскрываемых в соответствии с НСФО 1;</w:t>
      </w:r>
    </w:p>
    <w:p w:rsidR="000C1A82" w:rsidRPr="000C1A82" w:rsidRDefault="000C1A82" w:rsidP="000C1A82">
      <w:pPr>
        <w:pStyle w:val="newncpi"/>
      </w:pPr>
      <w:r w:rsidRPr="000C1A82">
        <w:t xml:space="preserve">об амортизационных расходах и иных существенных </w:t>
      </w:r>
      <w:proofErr w:type="spellStart"/>
      <w:r w:rsidRPr="000C1A82">
        <w:t>неденежных</w:t>
      </w:r>
      <w:proofErr w:type="spellEnd"/>
      <w:r w:rsidRPr="000C1A82">
        <w:t xml:space="preserve"> статьях;</w:t>
      </w:r>
    </w:p>
    <w:p w:rsidR="000C1A82" w:rsidRPr="000C1A82" w:rsidRDefault="000C1A82" w:rsidP="000C1A82">
      <w:pPr>
        <w:pStyle w:val="newncpi"/>
      </w:pPr>
      <w:r w:rsidRPr="000C1A82">
        <w:t>о доле в прибыли или убытке зависимых юридических лиц, совместно контролируемых юридических лиц, инвестиции в уставные фонды которых учитываются в консолидированной финансовой отчетности по методу долевого участия;</w:t>
      </w:r>
    </w:p>
    <w:p w:rsidR="000C1A82" w:rsidRPr="000C1A82" w:rsidRDefault="000C1A82" w:rsidP="000C1A82">
      <w:pPr>
        <w:pStyle w:val="newncpi"/>
      </w:pPr>
      <w:r w:rsidRPr="000C1A82">
        <w:t>о расходах по налогу на прибыль.</w:t>
      </w:r>
    </w:p>
    <w:p w:rsidR="000C1A82" w:rsidRPr="000C1A82" w:rsidRDefault="000C1A82" w:rsidP="000C1A82">
      <w:pPr>
        <w:pStyle w:val="newncpi"/>
      </w:pPr>
      <w:r w:rsidRPr="000C1A82">
        <w:t xml:space="preserve">Процентные доходы и процентные расходы представляются в </w:t>
      </w:r>
      <w:proofErr w:type="gramStart"/>
      <w:r w:rsidRPr="000C1A82">
        <w:t>составе</w:t>
      </w:r>
      <w:proofErr w:type="gramEnd"/>
      <w:r w:rsidRPr="000C1A82">
        <w:t xml:space="preserve"> данной информации раздельно.</w:t>
      </w:r>
    </w:p>
    <w:p w:rsidR="000C1A82" w:rsidRPr="000C1A82" w:rsidRDefault="000C1A82" w:rsidP="000C1A82">
      <w:pPr>
        <w:pStyle w:val="newncpi"/>
      </w:pPr>
      <w:r w:rsidRPr="000C1A82">
        <w:t>Величина каждой раскрываемой суммы должна быть тождественна аналогичным данным управленческой отчетности.</w:t>
      </w:r>
    </w:p>
    <w:p w:rsidR="000C1A82" w:rsidRPr="000C1A82" w:rsidRDefault="000C1A82" w:rsidP="000C1A82">
      <w:pPr>
        <w:pStyle w:val="point"/>
      </w:pPr>
      <w:r w:rsidRPr="000C1A82">
        <w:t>15. Наряду с информацией об активах и обязательствах по каждому отчетному сегменту раскрывается информация, включающая в себя:</w:t>
      </w:r>
    </w:p>
    <w:p w:rsidR="000C1A82" w:rsidRPr="000C1A82" w:rsidRDefault="000C1A82" w:rsidP="000C1A82">
      <w:pPr>
        <w:pStyle w:val="newncpi"/>
      </w:pPr>
      <w:r w:rsidRPr="000C1A82">
        <w:t xml:space="preserve">сумму </w:t>
      </w:r>
      <w:proofErr w:type="spellStart"/>
      <w:r w:rsidRPr="000C1A82">
        <w:t>неденежных</w:t>
      </w:r>
      <w:proofErr w:type="spellEnd"/>
      <w:r w:rsidRPr="000C1A82">
        <w:t xml:space="preserve"> активов;</w:t>
      </w:r>
    </w:p>
    <w:p w:rsidR="000C1A82" w:rsidRPr="000C1A82" w:rsidRDefault="000C1A82" w:rsidP="000C1A82">
      <w:pPr>
        <w:pStyle w:val="newncpi"/>
      </w:pPr>
      <w:r w:rsidRPr="000C1A82">
        <w:t>суммы инвестиций в зависимые юридические лица, совместно контролируемые юридические лица, которые учитываются в консолидированной финансовой отчетности по методу долевого участия, а также долю в их прибыли или убытке и суммы увеличения или уменьшения стоимости данных инвестиций;</w:t>
      </w:r>
    </w:p>
    <w:p w:rsidR="000C1A82" w:rsidRPr="000C1A82" w:rsidRDefault="000C1A82" w:rsidP="000C1A82">
      <w:pPr>
        <w:pStyle w:val="newncpi"/>
      </w:pPr>
      <w:r w:rsidRPr="000C1A82">
        <w:t>общую сумму приобретений долгосрочных активов, за исключением финансовых активов и активов, возникающих по выплатам в связи с окончанием трудовой деятельности.</w:t>
      </w:r>
    </w:p>
    <w:p w:rsidR="000C1A82" w:rsidRPr="000C1A82" w:rsidRDefault="000C1A82" w:rsidP="000C1A82">
      <w:pPr>
        <w:pStyle w:val="newncpi"/>
      </w:pPr>
      <w:r w:rsidRPr="000C1A82">
        <w:t>Величина каждой раскрываемой суммы должна быть тождественна аналогичным данным управленческой отчетности.</w:t>
      </w:r>
    </w:p>
    <w:p w:rsidR="000C1A82" w:rsidRPr="000C1A82" w:rsidRDefault="000C1A82" w:rsidP="000C1A82">
      <w:pPr>
        <w:pStyle w:val="point"/>
      </w:pPr>
      <w:r w:rsidRPr="000C1A82">
        <w:t>16. По каждому отчетному сегменту банк раскрывает информацию о подходах, применяемых к формированию его прибыли или убытка и оценке его активов и обязательств.</w:t>
      </w:r>
    </w:p>
    <w:p w:rsidR="000C1A82" w:rsidRPr="000C1A82" w:rsidRDefault="000C1A82" w:rsidP="000C1A82">
      <w:pPr>
        <w:pStyle w:val="newncpi"/>
      </w:pPr>
      <w:r w:rsidRPr="000C1A82">
        <w:t>Банк раскрывает в финансовой отчетности суммы расхождений между общими суммами прибыли или убытка, активов и обязатель</w:t>
      </w:r>
      <w:proofErr w:type="gramStart"/>
      <w:r w:rsidRPr="000C1A82">
        <w:t>ств вс</w:t>
      </w:r>
      <w:proofErr w:type="gramEnd"/>
      <w:r w:rsidRPr="000C1A82">
        <w:t xml:space="preserve">ех отчетных сегментов и прочих </w:t>
      </w:r>
      <w:r w:rsidRPr="000C1A82">
        <w:lastRenderedPageBreak/>
        <w:t>сегментов с представленными в финансовой отчетности суммами прибыли или убытка, активов и обязательств банка соответственно. Все существенные составляющие сумм расхождений раскрываются отдельно.</w:t>
      </w:r>
    </w:p>
    <w:p w:rsidR="000C1A82" w:rsidRPr="000C1A82" w:rsidRDefault="000C1A82" w:rsidP="000C1A82">
      <w:pPr>
        <w:pStyle w:val="newncpi"/>
      </w:pPr>
      <w:r w:rsidRPr="000C1A82">
        <w:t>Для лучшего понимания данных финансовой отчетности пользователями дополнительно могут быть описаны:</w:t>
      </w:r>
    </w:p>
    <w:p w:rsidR="000C1A82" w:rsidRPr="000C1A82" w:rsidRDefault="000C1A82" w:rsidP="000C1A82">
      <w:pPr>
        <w:pStyle w:val="newncpi"/>
      </w:pPr>
      <w:r w:rsidRPr="000C1A82">
        <w:t>подходы к отражению в управленческой отчетности операций между отчетными сегментами;</w:t>
      </w:r>
    </w:p>
    <w:p w:rsidR="000C1A82" w:rsidRPr="000C1A82" w:rsidRDefault="000C1A82" w:rsidP="000C1A82">
      <w:pPr>
        <w:pStyle w:val="newncpi"/>
      </w:pPr>
      <w:proofErr w:type="gramStart"/>
      <w:r w:rsidRPr="000C1A82">
        <w:t>причины различий между представленной общей суммой прибыли или убытка отчетных сегментов и общей суммой прибыли или убытка, отраженной в финансовой отчетности банка (в отчете о прибыли и убытках);</w:t>
      </w:r>
      <w:proofErr w:type="gramEnd"/>
    </w:p>
    <w:p w:rsidR="000C1A82" w:rsidRPr="000C1A82" w:rsidRDefault="000C1A82" w:rsidP="000C1A82">
      <w:pPr>
        <w:pStyle w:val="newncpi"/>
      </w:pPr>
      <w:proofErr w:type="gramStart"/>
      <w:r w:rsidRPr="000C1A82">
        <w:t>причины различий между представленной общей суммой активов отчетных сегментов и общей суммой активов, отраженной в финансовой отчетности банка (в бухгалтерском балансе);</w:t>
      </w:r>
      <w:proofErr w:type="gramEnd"/>
    </w:p>
    <w:p w:rsidR="000C1A82" w:rsidRPr="000C1A82" w:rsidRDefault="000C1A82" w:rsidP="000C1A82">
      <w:pPr>
        <w:pStyle w:val="newncpi"/>
      </w:pPr>
      <w:proofErr w:type="gramStart"/>
      <w:r w:rsidRPr="000C1A82">
        <w:t>причины различий между представленной общей суммой обязательств отчетных сегментов и общей суммой обязательств, отраженной в финансовой отчетности банка (в бухгалтерском балансе);</w:t>
      </w:r>
      <w:proofErr w:type="gramEnd"/>
    </w:p>
    <w:p w:rsidR="000C1A82" w:rsidRPr="000C1A82" w:rsidRDefault="000C1A82" w:rsidP="000C1A82">
      <w:pPr>
        <w:pStyle w:val="newncpi"/>
      </w:pPr>
      <w:r w:rsidRPr="000C1A82">
        <w:t>причины и влияние распределения между отчетными сегментами сумм амортизационных расходов, включаемых в прибыль или убыток отчетных сегментов, в состав активов которых не включены основные средства.</w:t>
      </w:r>
    </w:p>
    <w:p w:rsidR="000C1A82" w:rsidRPr="000C1A82" w:rsidRDefault="000C1A82" w:rsidP="000C1A82">
      <w:pPr>
        <w:pStyle w:val="point"/>
      </w:pPr>
      <w:r w:rsidRPr="000C1A82">
        <w:t xml:space="preserve">17. Информация по отчетным сегментам представляется обособленно в пояснительной записке к финансовой отчетности. Вид представления указанной информации определяется банком самостоятельно с учетом требований Стандарта. Информация по отчетным сегментам должна включать в себя текстовые описания и цифровую информацию, которая может быть представлена в </w:t>
      </w:r>
      <w:proofErr w:type="gramStart"/>
      <w:r w:rsidRPr="000C1A82">
        <w:t>виде</w:t>
      </w:r>
      <w:proofErr w:type="gramEnd"/>
      <w:r w:rsidRPr="000C1A82">
        <w:t xml:space="preserve"> таблиц.</w:t>
      </w:r>
    </w:p>
    <w:p w:rsidR="000C1A82" w:rsidRPr="000C1A82" w:rsidRDefault="000C1A82" w:rsidP="000C1A82">
      <w:pPr>
        <w:pStyle w:val="point"/>
      </w:pPr>
      <w:r w:rsidRPr="000C1A82">
        <w:t xml:space="preserve">18. По каждому отчетному сегменту банк представляет сравнительную цифровую информацию за период, предшествующий отчетному. Сравнительная цифровая информация приводится и в том случае, если в периоде, предшествующем </w:t>
      </w:r>
      <w:proofErr w:type="gramStart"/>
      <w:r w:rsidRPr="000C1A82">
        <w:t>отчетному</w:t>
      </w:r>
      <w:proofErr w:type="gramEnd"/>
      <w:r w:rsidRPr="000C1A82">
        <w:t>, данные сегменты не были классифицированы банком как отчетные.</w:t>
      </w:r>
    </w:p>
    <w:p w:rsidR="000C1A82" w:rsidRPr="000C1A82" w:rsidRDefault="000C1A82" w:rsidP="000C1A82">
      <w:pPr>
        <w:pStyle w:val="newncpi"/>
      </w:pPr>
      <w:r w:rsidRPr="000C1A82">
        <w:t>Банк представляет сравнительную текстовую информацию по отчетным сегментам, если это необходимо для понимания финансовой отчетности. При изменении в отчетном периоде подходов к формированию прибыли или убытка отчетного сегмента по сравнению с подходами, принятыми в периодах, предшествующих отчетному, представляется информация о характере и влиянии этих изменений.</w:t>
      </w:r>
    </w:p>
    <w:p w:rsidR="000C1A82" w:rsidRPr="000C1A82" w:rsidRDefault="000C1A82" w:rsidP="000C1A82">
      <w:pPr>
        <w:pStyle w:val="newncpi"/>
      </w:pPr>
      <w:r w:rsidRPr="000C1A82">
        <w:t>В случае изменения в отчетном периоде состава отчетных сегментов сравнительная информация за периоды, предшествующие отчетному, подлежит обновлению, если только это не является практически неосуществимым. При этом банк отражает в финансовой отчетности факт и причины отсутствия соответствующей сравнительной информации по каждой раскрываемой сумме. Банк также представляет информацию об обновлении сравнительной информации при изменении состава отчетных сегментов.</w:t>
      </w:r>
    </w:p>
    <w:p w:rsidR="000C1A82" w:rsidRPr="000C1A82" w:rsidRDefault="000C1A82" w:rsidP="000C1A82">
      <w:pPr>
        <w:pStyle w:val="point"/>
      </w:pPr>
      <w:r w:rsidRPr="000C1A82">
        <w:t xml:space="preserve">19. В финансовой отчетности дополнительно представляется информация по операционным сегментам, которые были классифицированы как отчетные сегменты в периоде, предшествующем отчетному, и не классифицированы как отчетные сегменты в отчетном периоде, </w:t>
      </w:r>
      <w:proofErr w:type="gramStart"/>
      <w:r w:rsidRPr="000C1A82">
        <w:t>если</w:t>
      </w:r>
      <w:proofErr w:type="gramEnd"/>
      <w:r w:rsidRPr="000C1A82">
        <w:t xml:space="preserve"> по мнению руководителя, отвечающего за принятие операционных решений, информация о данных сегментах является полезной для пользователей финансовой отчетности.</w:t>
      </w:r>
    </w:p>
    <w:p w:rsidR="000C1A82" w:rsidRPr="000C1A82" w:rsidRDefault="000C1A82" w:rsidP="000C1A82">
      <w:pPr>
        <w:pStyle w:val="point"/>
      </w:pPr>
      <w:r w:rsidRPr="000C1A82">
        <w:t>20. В случае</w:t>
      </w:r>
      <w:proofErr w:type="gramStart"/>
      <w:r w:rsidRPr="000C1A82">
        <w:t>,</w:t>
      </w:r>
      <w:proofErr w:type="gramEnd"/>
      <w:r w:rsidRPr="000C1A82">
        <w:t xml:space="preserve"> если банк не раскрывает в финансовой отчетности информацию по отчетным сегментам в соответствии с требованиями Стандарта, либо у банка имеется только один отчетный сегмент, либо приведенная ниже информация отсутствует в представляемой банком информации по отчетным сегментам, банк раскрывает в финансовой отчетности информацию о совершаемых операциях, оказываемых услугах, географических регионах, в которых осуществляется его деятельность, и об основных внешних </w:t>
      </w:r>
      <w:proofErr w:type="gramStart"/>
      <w:r w:rsidRPr="000C1A82">
        <w:t>клиентах</w:t>
      </w:r>
      <w:proofErr w:type="gramEnd"/>
      <w:r w:rsidRPr="000C1A82">
        <w:t>.</w:t>
      </w:r>
    </w:p>
    <w:p w:rsidR="000C1A82" w:rsidRPr="000C1A82" w:rsidRDefault="000C1A82" w:rsidP="000C1A82">
      <w:pPr>
        <w:pStyle w:val="newncpi"/>
      </w:pPr>
      <w:r w:rsidRPr="000C1A82">
        <w:t>Данная информация раскрывается на основе принятой банком учетной политики и подходов к формированию прибыли или убытка и оценки активов и обязательств, применяемых в его финансовой отчетности.</w:t>
      </w:r>
    </w:p>
    <w:p w:rsidR="000C1A82" w:rsidRPr="000C1A82" w:rsidRDefault="000C1A82" w:rsidP="000C1A82">
      <w:pPr>
        <w:pStyle w:val="point"/>
      </w:pPr>
      <w:r w:rsidRPr="000C1A82">
        <w:lastRenderedPageBreak/>
        <w:t>21. В составе информации о совершаемых операциях, оказываемых услугах приводятся суммы доходов, расходов от совершаемых операций и оказываемых услуг внешним клиентам, за исключением случаев, если представление такой информации является практически неосуществимым.</w:t>
      </w:r>
    </w:p>
    <w:p w:rsidR="000C1A82" w:rsidRPr="000C1A82" w:rsidRDefault="000C1A82" w:rsidP="000C1A82">
      <w:pPr>
        <w:pStyle w:val="newncpi"/>
      </w:pPr>
      <w:proofErr w:type="gramStart"/>
      <w:r w:rsidRPr="000C1A82">
        <w:t>В составе информации о географических регионах приводятся суммы доходов, расходов от совершаемых операций и оказываемых услуг внешним клиентам на территории Республики Беларусь и суммы доходов, расходов от совершаемых операций и оказываемых услуг внешним клиентам за пределами Республики Беларусь (при существенности данных сумм в составе указанной информации раскрываются подходы банка к отнесению доходов к тем или иным географическим регионам).</w:t>
      </w:r>
      <w:proofErr w:type="gramEnd"/>
    </w:p>
    <w:p w:rsidR="000C1A82" w:rsidRPr="000C1A82" w:rsidRDefault="000C1A82" w:rsidP="000C1A82">
      <w:pPr>
        <w:pStyle w:val="newncpi"/>
      </w:pPr>
      <w:r w:rsidRPr="000C1A82">
        <w:t>В составе информации о географических регионах также приводятся суммы долгосрочных инвестиций в уставные фонды юридических лиц, находящихся в Республике Беларусь и в зарубежных странах, в которых размещены активы банка.</w:t>
      </w:r>
    </w:p>
    <w:p w:rsidR="000C1A82" w:rsidRPr="000C1A82" w:rsidRDefault="000C1A82" w:rsidP="000C1A82">
      <w:pPr>
        <w:pStyle w:val="point"/>
      </w:pPr>
      <w:r w:rsidRPr="000C1A82">
        <w:t xml:space="preserve">22. В составе информации об основных внешних клиентах банк представляет сведения о своей зависимости от них. </w:t>
      </w:r>
      <w:proofErr w:type="gramStart"/>
      <w:r w:rsidRPr="000C1A82">
        <w:t>Данная информация представляется в случае, если доходы, расходы от совершаемых операций, оказываемых услуг с одним внешним клиентом составляют не менее 10 процентов общей суммы соответствующих доходов, расходов банка.</w:t>
      </w:r>
      <w:proofErr w:type="gramEnd"/>
      <w:r w:rsidRPr="000C1A82">
        <w:t xml:space="preserve"> При этом в финансовой отчетности </w:t>
      </w:r>
      <w:proofErr w:type="gramStart"/>
      <w:r w:rsidRPr="000C1A82">
        <w:t>раскрывается факт наличия каждого такого клиента и приводятся</w:t>
      </w:r>
      <w:proofErr w:type="gramEnd"/>
      <w:r w:rsidRPr="000C1A82">
        <w:t xml:space="preserve"> отчетные сегменты, в информацию по которым включены соответствующие суммы. Для целей Стандарта в </w:t>
      </w:r>
      <w:proofErr w:type="gramStart"/>
      <w:r w:rsidRPr="000C1A82">
        <w:t>качестве</w:t>
      </w:r>
      <w:proofErr w:type="gramEnd"/>
      <w:r w:rsidRPr="000C1A82">
        <w:t xml:space="preserve"> отдельного клиента рассматривается также группа юридических лиц, находящихся под контролем одного и того же юридического лица, если банку известна данная информация.</w:t>
      </w:r>
    </w:p>
    <w:p w:rsidR="000C1A82" w:rsidRPr="000C1A82" w:rsidRDefault="000C1A82" w:rsidP="000C1A82">
      <w:pPr>
        <w:pStyle w:val="newncpi"/>
      </w:pPr>
      <w:r w:rsidRPr="000C1A82">
        <w:t> </w:t>
      </w:r>
    </w:p>
    <w:p w:rsidR="000C1A82" w:rsidRPr="000C1A82" w:rsidRDefault="000C1A82" w:rsidP="000C1A82">
      <w:pPr>
        <w:sectPr w:rsidR="000C1A82" w:rsidRPr="000C1A82">
          <w:pgSz w:w="11906" w:h="16838"/>
          <w:pgMar w:top="567" w:right="1134" w:bottom="567" w:left="1417" w:header="0" w:footer="0" w:gutter="0"/>
          <w:cols w:space="720"/>
        </w:sectPr>
      </w:pPr>
    </w:p>
    <w:p w:rsidR="000C1A82" w:rsidRPr="000C1A82" w:rsidRDefault="000C1A82" w:rsidP="000C1A82">
      <w:pPr>
        <w:pStyle w:val="newncpi"/>
      </w:pPr>
      <w:r w:rsidRPr="000C1A82"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368"/>
        <w:gridCol w:w="2999"/>
      </w:tblGrid>
      <w:tr w:rsidR="000C1A82" w:rsidRPr="000C1A82" w:rsidTr="000C1A82">
        <w:tc>
          <w:tcPr>
            <w:tcW w:w="3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A82" w:rsidRPr="000C1A82" w:rsidRDefault="000C1A82">
            <w:pPr>
              <w:pStyle w:val="newncpi"/>
            </w:pPr>
            <w:r w:rsidRPr="000C1A82">
              <w:t> </w:t>
            </w:r>
          </w:p>
          <w:p w:rsidR="000C1A82" w:rsidRPr="000C1A82" w:rsidRDefault="000C1A82">
            <w:pPr>
              <w:rPr>
                <w:sz w:val="24"/>
                <w:szCs w:val="24"/>
              </w:rPr>
            </w:pPr>
            <w:r w:rsidRPr="000C1A82">
              <w:t> </w:t>
            </w:r>
          </w:p>
        </w:tc>
        <w:tc>
          <w:tcPr>
            <w:tcW w:w="16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A82" w:rsidRPr="000C1A82" w:rsidRDefault="000C1A82">
            <w:pPr>
              <w:pStyle w:val="append1"/>
            </w:pPr>
            <w:bookmarkStart w:id="4" w:name="a1"/>
            <w:bookmarkEnd w:id="4"/>
            <w:r w:rsidRPr="000C1A82">
              <w:t>Приложение</w:t>
            </w:r>
          </w:p>
          <w:p w:rsidR="000C1A82" w:rsidRPr="000C1A82" w:rsidRDefault="000C1A82">
            <w:pPr>
              <w:pStyle w:val="append"/>
            </w:pPr>
            <w:r w:rsidRPr="000C1A82">
              <w:t xml:space="preserve">к Национальному </w:t>
            </w:r>
            <w:r w:rsidRPr="000C1A82">
              <w:t>стандарту</w:t>
            </w:r>
            <w:r w:rsidRPr="000C1A82">
              <w:t xml:space="preserve"> </w:t>
            </w:r>
            <w:r w:rsidRPr="000C1A82">
              <w:br/>
              <w:t xml:space="preserve">финансовой отчетности 8-F </w:t>
            </w:r>
            <w:r w:rsidRPr="000C1A82">
              <w:br/>
              <w:t xml:space="preserve">«Операционные сегменты» </w:t>
            </w:r>
            <w:r w:rsidRPr="000C1A82">
              <w:br/>
              <w:t xml:space="preserve">(НСФО 8-F) </w:t>
            </w:r>
          </w:p>
          <w:p w:rsidR="000C1A82" w:rsidRPr="000C1A82" w:rsidRDefault="000C1A82">
            <w:pPr>
              <w:rPr>
                <w:sz w:val="24"/>
                <w:szCs w:val="24"/>
              </w:rPr>
            </w:pPr>
            <w:r w:rsidRPr="000C1A82">
              <w:t> </w:t>
            </w:r>
          </w:p>
        </w:tc>
      </w:tr>
    </w:tbl>
    <w:p w:rsidR="000C1A82" w:rsidRPr="000C1A82" w:rsidRDefault="000C1A82" w:rsidP="000C1A82">
      <w:pPr>
        <w:pStyle w:val="titlep"/>
      </w:pPr>
      <w:r w:rsidRPr="000C1A82">
        <w:t>Примерная схема принятия решений при идентификации операционных сегментов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881"/>
        <w:gridCol w:w="360"/>
        <w:gridCol w:w="3535"/>
        <w:gridCol w:w="658"/>
        <w:gridCol w:w="1933"/>
      </w:tblGrid>
      <w:tr w:rsidR="000C1A82" w:rsidRPr="000C1A82" w:rsidTr="000C1A82">
        <w:trPr>
          <w:trHeight w:val="240"/>
        </w:trPr>
        <w:tc>
          <w:tcPr>
            <w:tcW w:w="36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A82" w:rsidRPr="000C1A82" w:rsidRDefault="000C1A82">
            <w:pPr>
              <w:pStyle w:val="table10"/>
              <w:jc w:val="both"/>
            </w:pPr>
            <w:r w:rsidRPr="000C1A82">
              <w:t xml:space="preserve">Является ли (либо будет являться в </w:t>
            </w:r>
            <w:proofErr w:type="gramStart"/>
            <w:r w:rsidRPr="000C1A82">
              <w:t>будущем</w:t>
            </w:r>
            <w:proofErr w:type="gramEnd"/>
            <w:r w:rsidRPr="000C1A82">
              <w:t>) выбранное направление деятельности банка источником доходов и расходов от совершения определенного вида операций, оказания услуг или в определенном географическом регионе</w:t>
            </w:r>
          </w:p>
          <w:p w:rsidR="000C1A82" w:rsidRPr="000C1A82" w:rsidRDefault="000C1A82">
            <w:pPr>
              <w:rPr>
                <w:sz w:val="24"/>
                <w:szCs w:val="24"/>
              </w:rPr>
            </w:pPr>
            <w:r w:rsidRPr="000C1A82">
              <w:t> 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1A82" w:rsidRPr="000C1A82" w:rsidRDefault="000C1A82">
            <w:pPr>
              <w:pStyle w:val="table10"/>
              <w:jc w:val="center"/>
            </w:pPr>
            <w:r w:rsidRPr="000C1A82">
              <w:t>нет</w:t>
            </w:r>
          </w:p>
          <w:p w:rsidR="000C1A82" w:rsidRPr="000C1A82" w:rsidRDefault="000C1A82">
            <w:pPr>
              <w:rPr>
                <w:sz w:val="24"/>
                <w:szCs w:val="24"/>
              </w:rPr>
            </w:pPr>
            <w:r w:rsidRPr="000C1A82">
              <w:t> 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1A82" w:rsidRPr="000C1A82" w:rsidRDefault="000C1A82">
            <w:pPr>
              <w:pStyle w:val="table10"/>
              <w:jc w:val="center"/>
            </w:pPr>
            <w:r w:rsidRPr="000C1A82">
              <w:rPr>
                <w:b/>
                <w:bCs/>
              </w:rPr>
              <w:t>Не является операционным сегментом</w:t>
            </w:r>
          </w:p>
          <w:p w:rsidR="000C1A82" w:rsidRPr="000C1A82" w:rsidRDefault="000C1A82">
            <w:pPr>
              <w:rPr>
                <w:sz w:val="24"/>
                <w:szCs w:val="24"/>
              </w:rPr>
            </w:pPr>
            <w:r w:rsidRPr="000C1A82">
              <w:t> </w:t>
            </w:r>
          </w:p>
        </w:tc>
      </w:tr>
      <w:tr w:rsidR="000C1A82" w:rsidRPr="000C1A82" w:rsidTr="000C1A82">
        <w:trPr>
          <w:trHeight w:val="24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82" w:rsidRPr="000C1A82" w:rsidRDefault="000C1A82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A82" w:rsidRPr="000C1A82" w:rsidRDefault="000C1A82">
            <w:pPr>
              <w:pStyle w:val="table10"/>
              <w:jc w:val="center"/>
            </w:pPr>
            <w:r w:rsidRPr="000C1A82">
              <w:rPr>
                <w:rStyle w:val="onewind3"/>
              </w:rPr>
              <w:t></w:t>
            </w:r>
          </w:p>
          <w:p w:rsidR="000C1A82" w:rsidRPr="000C1A82" w:rsidRDefault="000C1A82">
            <w:pPr>
              <w:rPr>
                <w:sz w:val="24"/>
                <w:szCs w:val="24"/>
              </w:rPr>
            </w:pPr>
            <w:r w:rsidRPr="000C1A82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82" w:rsidRPr="000C1A82" w:rsidRDefault="000C1A82">
            <w:pPr>
              <w:rPr>
                <w:sz w:val="24"/>
                <w:szCs w:val="24"/>
              </w:rPr>
            </w:pPr>
          </w:p>
        </w:tc>
      </w:tr>
      <w:tr w:rsidR="000C1A82" w:rsidRPr="000C1A82" w:rsidTr="000C1A82">
        <w:trPr>
          <w:trHeight w:val="240"/>
        </w:trPr>
        <w:tc>
          <w:tcPr>
            <w:tcW w:w="153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A82" w:rsidRPr="000C1A82" w:rsidRDefault="000C1A82">
            <w:pPr>
              <w:pStyle w:val="table10"/>
            </w:pPr>
            <w:r w:rsidRPr="000C1A82">
              <w:t> </w:t>
            </w:r>
          </w:p>
          <w:p w:rsidR="000C1A82" w:rsidRPr="000C1A82" w:rsidRDefault="000C1A82">
            <w:pPr>
              <w:rPr>
                <w:sz w:val="24"/>
                <w:szCs w:val="24"/>
              </w:rPr>
            </w:pPr>
            <w:r w:rsidRPr="000C1A82">
              <w:t> 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1A82" w:rsidRPr="000C1A82" w:rsidRDefault="000C1A82">
            <w:pPr>
              <w:pStyle w:val="table10"/>
              <w:jc w:val="center"/>
            </w:pPr>
            <w:r w:rsidRPr="000C1A82">
              <w:rPr>
                <w:rStyle w:val="onewind3"/>
              </w:rPr>
              <w:t></w:t>
            </w:r>
          </w:p>
          <w:p w:rsidR="000C1A82" w:rsidRPr="000C1A82" w:rsidRDefault="000C1A82">
            <w:pPr>
              <w:rPr>
                <w:sz w:val="24"/>
                <w:szCs w:val="24"/>
              </w:rPr>
            </w:pPr>
            <w:r w:rsidRPr="000C1A82">
              <w:t> </w:t>
            </w:r>
          </w:p>
        </w:tc>
        <w:tc>
          <w:tcPr>
            <w:tcW w:w="188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1A82" w:rsidRPr="000C1A82" w:rsidRDefault="000C1A82">
            <w:pPr>
              <w:pStyle w:val="table10"/>
            </w:pPr>
            <w:r w:rsidRPr="000C1A82">
              <w:t>да</w:t>
            </w:r>
          </w:p>
          <w:p w:rsidR="000C1A82" w:rsidRPr="000C1A82" w:rsidRDefault="000C1A82">
            <w:pPr>
              <w:rPr>
                <w:sz w:val="24"/>
                <w:szCs w:val="24"/>
              </w:rPr>
            </w:pPr>
            <w:r w:rsidRPr="000C1A82">
              <w:t> </w:t>
            </w:r>
          </w:p>
        </w:tc>
        <w:tc>
          <w:tcPr>
            <w:tcW w:w="3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A82" w:rsidRPr="000C1A82" w:rsidRDefault="000C1A82">
            <w:pPr>
              <w:pStyle w:val="table10"/>
            </w:pPr>
            <w:r w:rsidRPr="000C1A82">
              <w:t> </w:t>
            </w:r>
          </w:p>
          <w:p w:rsidR="000C1A82" w:rsidRPr="000C1A82" w:rsidRDefault="000C1A82">
            <w:pPr>
              <w:rPr>
                <w:sz w:val="24"/>
                <w:szCs w:val="24"/>
              </w:rPr>
            </w:pPr>
            <w:r w:rsidRPr="000C1A82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82" w:rsidRPr="000C1A82" w:rsidRDefault="000C1A82">
            <w:pPr>
              <w:rPr>
                <w:sz w:val="24"/>
                <w:szCs w:val="24"/>
              </w:rPr>
            </w:pPr>
          </w:p>
        </w:tc>
      </w:tr>
      <w:tr w:rsidR="000C1A82" w:rsidRPr="000C1A82" w:rsidTr="000C1A82">
        <w:trPr>
          <w:trHeight w:val="240"/>
        </w:trPr>
        <w:tc>
          <w:tcPr>
            <w:tcW w:w="36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A82" w:rsidRPr="000C1A82" w:rsidRDefault="000C1A82">
            <w:pPr>
              <w:pStyle w:val="table10"/>
              <w:jc w:val="both"/>
            </w:pPr>
            <w:r w:rsidRPr="000C1A82">
              <w:t xml:space="preserve">Проводится ли на регулярной основе распределение ресурсов и анализ результатов данного направления деятельности руководителем, отвечающим за принятие операционных решений </w:t>
            </w:r>
          </w:p>
          <w:p w:rsidR="000C1A82" w:rsidRPr="000C1A82" w:rsidRDefault="000C1A82">
            <w:pPr>
              <w:rPr>
                <w:sz w:val="24"/>
                <w:szCs w:val="24"/>
              </w:rPr>
            </w:pPr>
            <w:r w:rsidRPr="000C1A82">
              <w:t> 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A82" w:rsidRPr="000C1A82" w:rsidRDefault="000C1A82">
            <w:pPr>
              <w:pStyle w:val="table10"/>
              <w:jc w:val="center"/>
            </w:pPr>
            <w:r w:rsidRPr="000C1A82">
              <w:t>нет</w:t>
            </w:r>
          </w:p>
          <w:p w:rsidR="000C1A82" w:rsidRPr="000C1A82" w:rsidRDefault="000C1A82">
            <w:pPr>
              <w:rPr>
                <w:sz w:val="24"/>
                <w:szCs w:val="24"/>
              </w:rPr>
            </w:pPr>
            <w:r w:rsidRPr="000C1A82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82" w:rsidRPr="000C1A82" w:rsidRDefault="000C1A82">
            <w:pPr>
              <w:rPr>
                <w:sz w:val="24"/>
                <w:szCs w:val="24"/>
              </w:rPr>
            </w:pPr>
          </w:p>
        </w:tc>
      </w:tr>
      <w:tr w:rsidR="000C1A82" w:rsidRPr="000C1A82" w:rsidTr="000C1A82">
        <w:trPr>
          <w:trHeight w:val="24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82" w:rsidRPr="000C1A82" w:rsidRDefault="000C1A82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A82" w:rsidRPr="000C1A82" w:rsidRDefault="000C1A82">
            <w:pPr>
              <w:pStyle w:val="table10"/>
              <w:jc w:val="center"/>
            </w:pPr>
            <w:r w:rsidRPr="000C1A82">
              <w:rPr>
                <w:rStyle w:val="onewind3"/>
              </w:rPr>
              <w:t></w:t>
            </w:r>
          </w:p>
          <w:p w:rsidR="000C1A82" w:rsidRPr="000C1A82" w:rsidRDefault="000C1A82">
            <w:pPr>
              <w:rPr>
                <w:sz w:val="24"/>
                <w:szCs w:val="24"/>
              </w:rPr>
            </w:pPr>
            <w:r w:rsidRPr="000C1A82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82" w:rsidRPr="000C1A82" w:rsidRDefault="000C1A82">
            <w:pPr>
              <w:rPr>
                <w:sz w:val="24"/>
                <w:szCs w:val="24"/>
              </w:rPr>
            </w:pPr>
          </w:p>
        </w:tc>
      </w:tr>
      <w:tr w:rsidR="000C1A82" w:rsidRPr="000C1A82" w:rsidTr="000C1A82">
        <w:trPr>
          <w:trHeight w:val="240"/>
        </w:trPr>
        <w:tc>
          <w:tcPr>
            <w:tcW w:w="153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A82" w:rsidRPr="000C1A82" w:rsidRDefault="000C1A82">
            <w:pPr>
              <w:pStyle w:val="table10"/>
            </w:pPr>
            <w:r w:rsidRPr="000C1A82">
              <w:t> </w:t>
            </w:r>
          </w:p>
          <w:p w:rsidR="000C1A82" w:rsidRPr="000C1A82" w:rsidRDefault="000C1A82">
            <w:pPr>
              <w:rPr>
                <w:sz w:val="24"/>
                <w:szCs w:val="24"/>
              </w:rPr>
            </w:pPr>
            <w:r w:rsidRPr="000C1A82">
              <w:t> 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1A82" w:rsidRPr="000C1A82" w:rsidRDefault="000C1A82">
            <w:pPr>
              <w:pStyle w:val="table10"/>
              <w:jc w:val="center"/>
            </w:pPr>
            <w:r w:rsidRPr="000C1A82">
              <w:rPr>
                <w:rStyle w:val="onewind3"/>
              </w:rPr>
              <w:t></w:t>
            </w:r>
          </w:p>
          <w:p w:rsidR="000C1A82" w:rsidRPr="000C1A82" w:rsidRDefault="000C1A82">
            <w:pPr>
              <w:rPr>
                <w:sz w:val="24"/>
                <w:szCs w:val="24"/>
              </w:rPr>
            </w:pPr>
            <w:r w:rsidRPr="000C1A82">
              <w:t> </w:t>
            </w:r>
          </w:p>
        </w:tc>
        <w:tc>
          <w:tcPr>
            <w:tcW w:w="188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1A82" w:rsidRPr="000C1A82" w:rsidRDefault="000C1A82">
            <w:pPr>
              <w:pStyle w:val="table10"/>
            </w:pPr>
            <w:r w:rsidRPr="000C1A82">
              <w:t>да</w:t>
            </w:r>
          </w:p>
          <w:p w:rsidR="000C1A82" w:rsidRPr="000C1A82" w:rsidRDefault="000C1A82">
            <w:pPr>
              <w:rPr>
                <w:sz w:val="24"/>
                <w:szCs w:val="24"/>
              </w:rPr>
            </w:pPr>
            <w:r w:rsidRPr="000C1A82">
              <w:t> </w:t>
            </w:r>
          </w:p>
        </w:tc>
        <w:tc>
          <w:tcPr>
            <w:tcW w:w="3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A82" w:rsidRPr="000C1A82" w:rsidRDefault="000C1A82">
            <w:pPr>
              <w:pStyle w:val="table10"/>
            </w:pPr>
            <w:r w:rsidRPr="000C1A82">
              <w:t> </w:t>
            </w:r>
          </w:p>
          <w:p w:rsidR="000C1A82" w:rsidRPr="000C1A82" w:rsidRDefault="000C1A82">
            <w:pPr>
              <w:rPr>
                <w:sz w:val="24"/>
                <w:szCs w:val="24"/>
              </w:rPr>
            </w:pPr>
            <w:r w:rsidRPr="000C1A82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82" w:rsidRPr="000C1A82" w:rsidRDefault="000C1A82">
            <w:pPr>
              <w:rPr>
                <w:sz w:val="24"/>
                <w:szCs w:val="24"/>
              </w:rPr>
            </w:pPr>
          </w:p>
        </w:tc>
      </w:tr>
      <w:tr w:rsidR="000C1A82" w:rsidRPr="000C1A82" w:rsidTr="000C1A82">
        <w:trPr>
          <w:trHeight w:val="240"/>
        </w:trPr>
        <w:tc>
          <w:tcPr>
            <w:tcW w:w="36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A82" w:rsidRPr="000C1A82" w:rsidRDefault="000C1A82">
            <w:pPr>
              <w:pStyle w:val="table10"/>
              <w:jc w:val="both"/>
            </w:pPr>
            <w:r w:rsidRPr="000C1A82">
              <w:t xml:space="preserve">Представляется ли руководителю, отвечающему за принятие операционных решений, управленческая отчетность по данному направлению деятельности </w:t>
            </w:r>
          </w:p>
          <w:p w:rsidR="000C1A82" w:rsidRPr="000C1A82" w:rsidRDefault="000C1A82">
            <w:pPr>
              <w:rPr>
                <w:sz w:val="24"/>
                <w:szCs w:val="24"/>
              </w:rPr>
            </w:pPr>
            <w:r w:rsidRPr="000C1A82">
              <w:t> 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A82" w:rsidRPr="000C1A82" w:rsidRDefault="000C1A82">
            <w:pPr>
              <w:pStyle w:val="table10"/>
              <w:jc w:val="center"/>
            </w:pPr>
            <w:r w:rsidRPr="000C1A82">
              <w:t>нет</w:t>
            </w:r>
          </w:p>
          <w:p w:rsidR="000C1A82" w:rsidRPr="000C1A82" w:rsidRDefault="000C1A82">
            <w:pPr>
              <w:rPr>
                <w:sz w:val="24"/>
                <w:szCs w:val="24"/>
              </w:rPr>
            </w:pPr>
            <w:r w:rsidRPr="000C1A82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82" w:rsidRPr="000C1A82" w:rsidRDefault="000C1A82">
            <w:pPr>
              <w:rPr>
                <w:sz w:val="24"/>
                <w:szCs w:val="24"/>
              </w:rPr>
            </w:pPr>
          </w:p>
        </w:tc>
      </w:tr>
      <w:tr w:rsidR="000C1A82" w:rsidRPr="000C1A82" w:rsidTr="000C1A82">
        <w:trPr>
          <w:trHeight w:val="24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82" w:rsidRPr="000C1A82" w:rsidRDefault="000C1A82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A82" w:rsidRPr="000C1A82" w:rsidRDefault="000C1A82">
            <w:pPr>
              <w:pStyle w:val="table10"/>
              <w:jc w:val="center"/>
            </w:pPr>
            <w:r w:rsidRPr="000C1A82">
              <w:rPr>
                <w:rStyle w:val="onewind3"/>
              </w:rPr>
              <w:t></w:t>
            </w:r>
          </w:p>
          <w:p w:rsidR="000C1A82" w:rsidRPr="000C1A82" w:rsidRDefault="000C1A82">
            <w:pPr>
              <w:rPr>
                <w:sz w:val="24"/>
                <w:szCs w:val="24"/>
              </w:rPr>
            </w:pPr>
            <w:r w:rsidRPr="000C1A82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82" w:rsidRPr="000C1A82" w:rsidRDefault="000C1A82">
            <w:pPr>
              <w:rPr>
                <w:sz w:val="24"/>
                <w:szCs w:val="24"/>
              </w:rPr>
            </w:pPr>
          </w:p>
        </w:tc>
      </w:tr>
      <w:tr w:rsidR="000C1A82" w:rsidRPr="000C1A82" w:rsidTr="000C1A82">
        <w:trPr>
          <w:trHeight w:val="240"/>
        </w:trPr>
        <w:tc>
          <w:tcPr>
            <w:tcW w:w="153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A82" w:rsidRPr="000C1A82" w:rsidRDefault="000C1A82">
            <w:pPr>
              <w:pStyle w:val="table10"/>
            </w:pPr>
            <w:r w:rsidRPr="000C1A82">
              <w:t> </w:t>
            </w:r>
          </w:p>
          <w:p w:rsidR="000C1A82" w:rsidRPr="000C1A82" w:rsidRDefault="000C1A82">
            <w:pPr>
              <w:rPr>
                <w:sz w:val="24"/>
                <w:szCs w:val="24"/>
              </w:rPr>
            </w:pPr>
            <w:r w:rsidRPr="000C1A82">
              <w:t> 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A82" w:rsidRPr="000C1A82" w:rsidRDefault="000C1A82">
            <w:pPr>
              <w:pStyle w:val="table10"/>
              <w:jc w:val="center"/>
            </w:pPr>
            <w:r w:rsidRPr="000C1A82">
              <w:rPr>
                <w:rStyle w:val="onewind3"/>
              </w:rPr>
              <w:t></w:t>
            </w:r>
          </w:p>
          <w:p w:rsidR="000C1A82" w:rsidRPr="000C1A82" w:rsidRDefault="000C1A82">
            <w:pPr>
              <w:rPr>
                <w:sz w:val="24"/>
                <w:szCs w:val="24"/>
              </w:rPr>
            </w:pPr>
            <w:r w:rsidRPr="000C1A82">
              <w:t> </w:t>
            </w:r>
          </w:p>
        </w:tc>
        <w:tc>
          <w:tcPr>
            <w:tcW w:w="188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A82" w:rsidRPr="000C1A82" w:rsidRDefault="000C1A82">
            <w:pPr>
              <w:pStyle w:val="table10"/>
            </w:pPr>
            <w:r w:rsidRPr="000C1A82">
              <w:t>да</w:t>
            </w:r>
          </w:p>
          <w:p w:rsidR="000C1A82" w:rsidRPr="000C1A82" w:rsidRDefault="000C1A82">
            <w:pPr>
              <w:rPr>
                <w:sz w:val="24"/>
                <w:szCs w:val="24"/>
              </w:rPr>
            </w:pPr>
            <w:r w:rsidRPr="000C1A82">
              <w:t> 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A82" w:rsidRPr="000C1A82" w:rsidRDefault="000C1A82">
            <w:pPr>
              <w:pStyle w:val="table10"/>
            </w:pPr>
            <w:r w:rsidRPr="000C1A82">
              <w:t> </w:t>
            </w:r>
          </w:p>
          <w:p w:rsidR="000C1A82" w:rsidRPr="000C1A82" w:rsidRDefault="000C1A82">
            <w:pPr>
              <w:rPr>
                <w:sz w:val="24"/>
                <w:szCs w:val="24"/>
              </w:rPr>
            </w:pPr>
            <w:r w:rsidRPr="000C1A82">
              <w:t> </w:t>
            </w:r>
          </w:p>
        </w:tc>
        <w:tc>
          <w:tcPr>
            <w:tcW w:w="103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A82" w:rsidRPr="000C1A82" w:rsidRDefault="000C1A82">
            <w:pPr>
              <w:pStyle w:val="table10"/>
            </w:pPr>
            <w:r w:rsidRPr="000C1A82">
              <w:t> </w:t>
            </w:r>
          </w:p>
          <w:p w:rsidR="000C1A82" w:rsidRPr="000C1A82" w:rsidRDefault="000C1A82">
            <w:pPr>
              <w:rPr>
                <w:sz w:val="24"/>
                <w:szCs w:val="24"/>
              </w:rPr>
            </w:pPr>
            <w:r w:rsidRPr="000C1A82">
              <w:t> </w:t>
            </w:r>
          </w:p>
        </w:tc>
      </w:tr>
      <w:tr w:rsidR="000C1A82" w:rsidRPr="000C1A82" w:rsidTr="000C1A82">
        <w:trPr>
          <w:trHeight w:val="240"/>
        </w:trPr>
        <w:tc>
          <w:tcPr>
            <w:tcW w:w="3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A82" w:rsidRPr="000C1A82" w:rsidRDefault="000C1A82">
            <w:pPr>
              <w:pStyle w:val="table10"/>
              <w:jc w:val="center"/>
            </w:pPr>
            <w:r w:rsidRPr="000C1A82">
              <w:rPr>
                <w:b/>
                <w:bCs/>
              </w:rPr>
              <w:t>Является операционным сегментом</w:t>
            </w:r>
          </w:p>
          <w:p w:rsidR="000C1A82" w:rsidRPr="000C1A82" w:rsidRDefault="000C1A82">
            <w:pPr>
              <w:rPr>
                <w:sz w:val="24"/>
                <w:szCs w:val="24"/>
              </w:rPr>
            </w:pPr>
            <w:r w:rsidRPr="000C1A82">
              <w:t> </w:t>
            </w:r>
          </w:p>
        </w:tc>
        <w:tc>
          <w:tcPr>
            <w:tcW w:w="3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A82" w:rsidRPr="000C1A82" w:rsidRDefault="000C1A82">
            <w:pPr>
              <w:pStyle w:val="table10"/>
            </w:pPr>
            <w:r w:rsidRPr="000C1A82">
              <w:t> </w:t>
            </w:r>
          </w:p>
          <w:p w:rsidR="000C1A82" w:rsidRPr="000C1A82" w:rsidRDefault="000C1A82">
            <w:pPr>
              <w:rPr>
                <w:sz w:val="24"/>
                <w:szCs w:val="24"/>
              </w:rPr>
            </w:pPr>
            <w:r w:rsidRPr="000C1A82">
              <w:t> </w:t>
            </w:r>
          </w:p>
        </w:tc>
        <w:tc>
          <w:tcPr>
            <w:tcW w:w="10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A82" w:rsidRPr="000C1A82" w:rsidRDefault="000C1A82">
            <w:pPr>
              <w:pStyle w:val="table10"/>
            </w:pPr>
            <w:r w:rsidRPr="000C1A82">
              <w:t> </w:t>
            </w:r>
          </w:p>
          <w:p w:rsidR="000C1A82" w:rsidRPr="000C1A82" w:rsidRDefault="000C1A82">
            <w:pPr>
              <w:rPr>
                <w:sz w:val="24"/>
                <w:szCs w:val="24"/>
              </w:rPr>
            </w:pPr>
            <w:r w:rsidRPr="000C1A82">
              <w:t> </w:t>
            </w:r>
          </w:p>
        </w:tc>
      </w:tr>
    </w:tbl>
    <w:p w:rsidR="000C1A82" w:rsidRPr="000C1A82" w:rsidRDefault="000C1A82" w:rsidP="000C1A82">
      <w:pPr>
        <w:pStyle w:val="newncpi"/>
      </w:pPr>
      <w:r w:rsidRPr="000C1A82">
        <w:t> </w:t>
      </w:r>
    </w:p>
    <w:p w:rsidR="007645C7" w:rsidRDefault="007645C7"/>
    <w:sectPr w:rsidR="0076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82"/>
    <w:rsid w:val="000C1A82"/>
    <w:rsid w:val="001D3C2B"/>
    <w:rsid w:val="007645C7"/>
    <w:rsid w:val="008B17C0"/>
    <w:rsid w:val="00B6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1A82"/>
    <w:rPr>
      <w:color w:val="0038C8"/>
      <w:u w:val="single"/>
    </w:rPr>
  </w:style>
  <w:style w:type="paragraph" w:customStyle="1" w:styleId="title">
    <w:name w:val="title"/>
    <w:basedOn w:val="a"/>
    <w:rsid w:val="000C1A8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0C1A8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titlep">
    <w:name w:val="titlep"/>
    <w:basedOn w:val="a"/>
    <w:rsid w:val="000C1A8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0C1A82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C1A8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C1A8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0C1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C1A82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0C1A82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0C1A82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0C1A82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0C1A8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C1A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C1A82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0C1A82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0C1A82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0C1A82"/>
    <w:rPr>
      <w:rFonts w:ascii="Times New Roman" w:hAnsi="Times New Roman" w:cs="Times New Roman" w:hint="default"/>
      <w:i/>
      <w:iCs/>
    </w:rPr>
  </w:style>
  <w:style w:type="character" w:customStyle="1" w:styleId="onewind3">
    <w:name w:val="onewind3"/>
    <w:basedOn w:val="a0"/>
    <w:rsid w:val="000C1A82"/>
    <w:rPr>
      <w:rFonts w:ascii="Wingdings 3" w:hAnsi="Wingdings 3" w:hint="default"/>
    </w:rPr>
  </w:style>
  <w:style w:type="character" w:customStyle="1" w:styleId="post">
    <w:name w:val="post"/>
    <w:basedOn w:val="a0"/>
    <w:rsid w:val="000C1A82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0C1A82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0C1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1A82"/>
    <w:rPr>
      <w:color w:val="0038C8"/>
      <w:u w:val="single"/>
    </w:rPr>
  </w:style>
  <w:style w:type="paragraph" w:customStyle="1" w:styleId="title">
    <w:name w:val="title"/>
    <w:basedOn w:val="a"/>
    <w:rsid w:val="000C1A8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0C1A8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titlep">
    <w:name w:val="titlep"/>
    <w:basedOn w:val="a"/>
    <w:rsid w:val="000C1A8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0C1A82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C1A8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C1A8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0C1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C1A82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0C1A82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0C1A82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0C1A82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0C1A8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C1A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C1A82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0C1A82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0C1A82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0C1A82"/>
    <w:rPr>
      <w:rFonts w:ascii="Times New Roman" w:hAnsi="Times New Roman" w:cs="Times New Roman" w:hint="default"/>
      <w:i/>
      <w:iCs/>
    </w:rPr>
  </w:style>
  <w:style w:type="character" w:customStyle="1" w:styleId="onewind3">
    <w:name w:val="onewind3"/>
    <w:basedOn w:val="a0"/>
    <w:rsid w:val="000C1A82"/>
    <w:rPr>
      <w:rFonts w:ascii="Wingdings 3" w:hAnsi="Wingdings 3" w:hint="default"/>
    </w:rPr>
  </w:style>
  <w:style w:type="character" w:customStyle="1" w:styleId="post">
    <w:name w:val="post"/>
    <w:basedOn w:val="a0"/>
    <w:rsid w:val="000C1A82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0C1A82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0C1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6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7E7837599704DBF97B7717FFF4AF4" ma:contentTypeVersion="0" ma:contentTypeDescription="Создание документа." ma:contentTypeScope="" ma:versionID="2f76a39a6c754335552cd44e337eab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C7E0B-860D-4D73-A0D3-0186BE980FFD}"/>
</file>

<file path=customXml/itemProps2.xml><?xml version="1.0" encoding="utf-8"?>
<ds:datastoreItem xmlns:ds="http://schemas.openxmlformats.org/officeDocument/2006/customXml" ds:itemID="{BE7528E3-0A1E-42DC-9070-B670C5BFDE70}"/>
</file>

<file path=customXml/itemProps3.xml><?xml version="1.0" encoding="utf-8"?>
<ds:datastoreItem xmlns:ds="http://schemas.openxmlformats.org/officeDocument/2006/customXml" ds:itemID="{ABFB457D-1516-4BDD-A54E-6F489AA2A8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2900</Words>
  <Characters>16534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Shikalchik</dc:creator>
  <cp:lastModifiedBy>Sergey Shikalchik</cp:lastModifiedBy>
  <cp:revision>1</cp:revision>
  <dcterms:created xsi:type="dcterms:W3CDTF">2016-03-05T10:06:00Z</dcterms:created>
  <dcterms:modified xsi:type="dcterms:W3CDTF">2016-03-05T10:07:00Z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0x0101005007E7837599704DBF97B7717FFF4AF4</vt:lpwstr>
  </property>
</Properties>
</file>