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0" w:rsidRPr="002B6F80" w:rsidRDefault="002B6F80" w:rsidP="002B6F80">
      <w:pPr>
        <w:pStyle w:val="newncpi0"/>
        <w:jc w:val="center"/>
      </w:pPr>
      <w:bookmarkStart w:id="0" w:name="_GoBack"/>
      <w:bookmarkEnd w:id="0"/>
      <w:r w:rsidRPr="002B6F80">
        <w:t> </w:t>
      </w:r>
    </w:p>
    <w:p w:rsidR="002B6F80" w:rsidRPr="002B6F80" w:rsidRDefault="002B6F80" w:rsidP="002B6F80">
      <w:pPr>
        <w:pStyle w:val="newncpi0"/>
        <w:jc w:val="center"/>
      </w:pPr>
      <w:bookmarkStart w:id="1" w:name="a6"/>
      <w:bookmarkEnd w:id="1"/>
      <w:r w:rsidRPr="002B6F80">
        <w:rPr>
          <w:rStyle w:val="name"/>
        </w:rPr>
        <w:t>ПОСТАНОВЛЕНИЕ СОВЕТА ДИРЕКТОРОВ НАЦИОНАЛЬНОГО БАНКА РЕСПУБЛИКИ БЕЛАРУСЬ</w:t>
      </w:r>
    </w:p>
    <w:p w:rsidR="002B6F80" w:rsidRPr="002B6F80" w:rsidRDefault="002B6F80" w:rsidP="002B6F80">
      <w:pPr>
        <w:pStyle w:val="newncpi"/>
        <w:ind w:firstLine="0"/>
        <w:jc w:val="center"/>
      </w:pPr>
      <w:r w:rsidRPr="002B6F80">
        <w:rPr>
          <w:rStyle w:val="datepr"/>
        </w:rPr>
        <w:t>28 сентября 2007 г.</w:t>
      </w:r>
      <w:r w:rsidRPr="002B6F80">
        <w:rPr>
          <w:rStyle w:val="number"/>
        </w:rPr>
        <w:t xml:space="preserve"> № 296</w:t>
      </w:r>
    </w:p>
    <w:p w:rsidR="002B6F80" w:rsidRPr="002B6F80" w:rsidRDefault="002B6F80" w:rsidP="002B6F80">
      <w:pPr>
        <w:pStyle w:val="title"/>
      </w:pPr>
      <w:r w:rsidRPr="002B6F80">
        <w:t>Об утверждении Национального стандарта финансовой отчетности 7 «Отчет о движении денежных средств» (НСФО 7)</w:t>
      </w:r>
    </w:p>
    <w:p w:rsidR="002B6F80" w:rsidRPr="002B6F80" w:rsidRDefault="002B6F80" w:rsidP="002B6F80">
      <w:pPr>
        <w:pStyle w:val="changei"/>
      </w:pPr>
      <w:r w:rsidRPr="002B6F80">
        <w:t>Изменения и дополнения:</w:t>
      </w:r>
    </w:p>
    <w:p w:rsidR="002B6F80" w:rsidRPr="002B6F80" w:rsidRDefault="002B6F80" w:rsidP="002B6F80">
      <w:pPr>
        <w:pStyle w:val="changeadd"/>
      </w:pPr>
      <w:r w:rsidRPr="002B6F80">
        <w:t>Постановление</w:t>
      </w:r>
      <w:r w:rsidRPr="002B6F80">
        <w:t xml:space="preserve"> Совета директоров Национального банка Республики Беларусь от 3 февраля 2010 г. № 31 </w:t>
      </w:r>
    </w:p>
    <w:p w:rsidR="002B6F80" w:rsidRPr="002B6F80" w:rsidRDefault="002B6F80" w:rsidP="002B6F80">
      <w:pPr>
        <w:pStyle w:val="newncpi"/>
      </w:pPr>
      <w:r w:rsidRPr="002B6F80">
        <w:t> </w:t>
      </w:r>
    </w:p>
    <w:p w:rsidR="002B6F80" w:rsidRPr="002B6F80" w:rsidRDefault="002B6F80" w:rsidP="002B6F80">
      <w:pPr>
        <w:pStyle w:val="preamble"/>
      </w:pPr>
      <w:proofErr w:type="gramStart"/>
      <w:r w:rsidRPr="002B6F80">
        <w:t xml:space="preserve">В целях выполнения Основных направлений денежно-кредитной политики Республики Беларусь на 2007 год, утвержденных </w:t>
      </w:r>
      <w:r w:rsidRPr="002B6F80">
        <w:t>Указом</w:t>
      </w:r>
      <w:r w:rsidRPr="002B6F80">
        <w:t xml:space="preserve"> Президента Республики Беларусь от 30 ноября 2006 г. № 703, Программы развития банковского сектора экономики Республики Беларусь на 2006–2010 годы, утвержденной </w:t>
      </w:r>
      <w:r w:rsidRPr="002B6F80">
        <w:t>Указом</w:t>
      </w:r>
      <w:r w:rsidRPr="002B6F80">
        <w:t xml:space="preserve"> Президента Республики Беларусь от 15 января 2007 г. № 27, а также на основании </w:t>
      </w:r>
      <w:r w:rsidRPr="002B6F80">
        <w:t>статьи 26</w:t>
      </w:r>
      <w:r w:rsidRPr="002B6F80">
        <w:t xml:space="preserve"> Банковского кодекса Республики Беларусь Совет директоров Национального банка Республики Беларусь</w:t>
      </w:r>
      <w:proofErr w:type="gramEnd"/>
      <w:r w:rsidRPr="002B6F80">
        <w:t xml:space="preserve"> ПОСТАНОВЛЯЕТ:</w:t>
      </w:r>
    </w:p>
    <w:p w:rsidR="002B6F80" w:rsidRPr="002B6F80" w:rsidRDefault="002B6F80" w:rsidP="002B6F80">
      <w:pPr>
        <w:pStyle w:val="point"/>
      </w:pPr>
      <w:r w:rsidRPr="002B6F80">
        <w:t>1. Утвердить прилагаемый Национальный стандарт финансовой отчетности 7 «Отчет о движении денежных средств» (НСФО 7).</w:t>
      </w:r>
    </w:p>
    <w:p w:rsidR="002B6F80" w:rsidRPr="002B6F80" w:rsidRDefault="002B6F80" w:rsidP="002B6F80">
      <w:pPr>
        <w:pStyle w:val="point"/>
      </w:pPr>
      <w:r w:rsidRPr="002B6F80">
        <w:t xml:space="preserve">2. Признать утратившим силу Национальный стандарт финансовой отчетности 7 «Отчет о движении денежных средств» (НСФО 7) для банков, утвержденный </w:t>
      </w:r>
      <w:r w:rsidRPr="002B6F80">
        <w:t>постановлением</w:t>
      </w:r>
      <w:r w:rsidRPr="002B6F80">
        <w:t xml:space="preserve"> Совета директоров Национального банка Республики Беларусь от 3 декабря 2002 г. № 387.</w:t>
      </w:r>
    </w:p>
    <w:p w:rsidR="002B6F80" w:rsidRPr="002B6F80" w:rsidRDefault="002B6F80" w:rsidP="002B6F80">
      <w:pPr>
        <w:pStyle w:val="point"/>
      </w:pPr>
      <w:r w:rsidRPr="002B6F80">
        <w:t>3. Настоящее постановление вступает в силу с 1 января 2008 г. и применяется при составлении финансовой отчетности за 2007 год и последующие годы.</w:t>
      </w:r>
    </w:p>
    <w:p w:rsidR="002B6F80" w:rsidRPr="002B6F80" w:rsidRDefault="002B6F80" w:rsidP="002B6F80">
      <w:pPr>
        <w:pStyle w:val="newncpi"/>
      </w:pPr>
      <w:r w:rsidRPr="002B6F80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2B6F80" w:rsidRPr="002B6F80" w:rsidTr="002B6F8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B6F80" w:rsidRPr="002B6F80" w:rsidRDefault="002B6F80">
            <w:pPr>
              <w:pStyle w:val="newncpi0"/>
              <w:jc w:val="left"/>
            </w:pPr>
            <w:r w:rsidRPr="002B6F80">
              <w:rPr>
                <w:rStyle w:val="post"/>
              </w:rPr>
              <w:t>Председатель  Правления</w:t>
            </w:r>
          </w:p>
          <w:p w:rsidR="002B6F80" w:rsidRPr="002B6F80" w:rsidRDefault="002B6F80">
            <w:pPr>
              <w:rPr>
                <w:sz w:val="24"/>
                <w:szCs w:val="24"/>
              </w:rPr>
            </w:pPr>
            <w:r w:rsidRPr="002B6F80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B6F80" w:rsidRPr="002B6F80" w:rsidRDefault="002B6F80">
            <w:pPr>
              <w:pStyle w:val="newncpi0"/>
              <w:jc w:val="right"/>
            </w:pPr>
            <w:proofErr w:type="spellStart"/>
            <w:r w:rsidRPr="002B6F80">
              <w:rPr>
                <w:rStyle w:val="pers"/>
              </w:rPr>
              <w:t>П.П.Прокопович</w:t>
            </w:r>
            <w:proofErr w:type="spellEnd"/>
          </w:p>
          <w:p w:rsidR="002B6F80" w:rsidRPr="002B6F80" w:rsidRDefault="002B6F80">
            <w:pPr>
              <w:rPr>
                <w:sz w:val="24"/>
                <w:szCs w:val="24"/>
              </w:rPr>
            </w:pPr>
            <w:r w:rsidRPr="002B6F80">
              <w:t> </w:t>
            </w:r>
          </w:p>
        </w:tc>
      </w:tr>
    </w:tbl>
    <w:p w:rsidR="002B6F80" w:rsidRPr="002B6F80" w:rsidRDefault="002B6F80" w:rsidP="002B6F80">
      <w:pPr>
        <w:pStyle w:val="newncpi0"/>
      </w:pPr>
      <w:r w:rsidRPr="002B6F80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2B6F80" w:rsidRPr="002B6F80" w:rsidTr="002B6F8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F80" w:rsidRPr="002B6F80" w:rsidRDefault="002B6F80">
            <w:pPr>
              <w:pStyle w:val="newncpi"/>
            </w:pPr>
            <w:r w:rsidRPr="002B6F80">
              <w:t> </w:t>
            </w:r>
          </w:p>
          <w:p w:rsidR="002B6F80" w:rsidRPr="002B6F80" w:rsidRDefault="002B6F80">
            <w:pPr>
              <w:rPr>
                <w:sz w:val="24"/>
                <w:szCs w:val="24"/>
              </w:rPr>
            </w:pPr>
            <w:r w:rsidRPr="002B6F80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6F80" w:rsidRPr="002B6F80" w:rsidRDefault="002B6F80">
            <w:pPr>
              <w:pStyle w:val="capu1"/>
            </w:pPr>
            <w:r w:rsidRPr="002B6F80">
              <w:t>УТВЕРЖДЕНО</w:t>
            </w:r>
          </w:p>
          <w:p w:rsidR="002B6F80" w:rsidRPr="002B6F80" w:rsidRDefault="002B6F80">
            <w:pPr>
              <w:pStyle w:val="cap1"/>
            </w:pPr>
            <w:r w:rsidRPr="002B6F80">
              <w:t>Постановление</w:t>
            </w:r>
            <w:r w:rsidRPr="002B6F80">
              <w:t xml:space="preserve"> </w:t>
            </w:r>
            <w:r w:rsidRPr="002B6F80">
              <w:br/>
              <w:t xml:space="preserve">Совета директоров </w:t>
            </w:r>
            <w:r w:rsidRPr="002B6F80">
              <w:br/>
              <w:t xml:space="preserve">Национального банка </w:t>
            </w:r>
            <w:r w:rsidRPr="002B6F80">
              <w:br/>
              <w:t>Республики Беларусь</w:t>
            </w:r>
          </w:p>
          <w:p w:rsidR="002B6F80" w:rsidRPr="002B6F80" w:rsidRDefault="002B6F80">
            <w:pPr>
              <w:pStyle w:val="cap1"/>
            </w:pPr>
            <w:r w:rsidRPr="002B6F80">
              <w:t>28.09.2007 № 296</w:t>
            </w:r>
          </w:p>
          <w:p w:rsidR="002B6F80" w:rsidRPr="002B6F80" w:rsidRDefault="002B6F80">
            <w:pPr>
              <w:rPr>
                <w:sz w:val="24"/>
                <w:szCs w:val="24"/>
              </w:rPr>
            </w:pPr>
            <w:r w:rsidRPr="002B6F80">
              <w:t> </w:t>
            </w:r>
          </w:p>
        </w:tc>
      </w:tr>
    </w:tbl>
    <w:p w:rsidR="002B6F80" w:rsidRPr="002B6F80" w:rsidRDefault="002B6F80" w:rsidP="002B6F80">
      <w:pPr>
        <w:pStyle w:val="titleu"/>
      </w:pPr>
      <w:bookmarkStart w:id="2" w:name="a1"/>
      <w:bookmarkEnd w:id="2"/>
      <w:r w:rsidRPr="002B6F80">
        <w:t>НАЦИОНАЛЬНЫЙ СТАНДАРТ</w:t>
      </w:r>
      <w:r w:rsidRPr="002B6F80">
        <w:br/>
        <w:t>финансовой отчетности 7 «Отчет о движении денежных средств» (НСФО 7)</w:t>
      </w:r>
    </w:p>
    <w:p w:rsidR="002B6F80" w:rsidRPr="002B6F80" w:rsidRDefault="002B6F80" w:rsidP="002B6F80">
      <w:pPr>
        <w:pStyle w:val="chapter"/>
      </w:pPr>
      <w:bookmarkStart w:id="3" w:name="a2"/>
      <w:bookmarkEnd w:id="3"/>
      <w:r w:rsidRPr="002B6F80">
        <w:t>ГЛАВА 1</w:t>
      </w:r>
      <w:r w:rsidRPr="002B6F80">
        <w:br/>
        <w:t>ОБЩИЕ ПОЛОЖЕНИЯ</w:t>
      </w:r>
    </w:p>
    <w:p w:rsidR="002B6F80" w:rsidRPr="002B6F80" w:rsidRDefault="002B6F80" w:rsidP="002B6F80">
      <w:pPr>
        <w:pStyle w:val="point"/>
      </w:pPr>
      <w:r w:rsidRPr="002B6F80">
        <w:t>1. </w:t>
      </w:r>
      <w:proofErr w:type="gramStart"/>
      <w:r w:rsidRPr="002B6F80">
        <w:t xml:space="preserve">Национальный стандарт финансовой отчетности 7 «Отчет о движении денежных средств» (НСФО 7) (далее – Стандарт) разработан в целях выполнения Основных направлений денежно-кредитной политики Республики Беларусь на 2007 год, утвержденных </w:t>
      </w:r>
      <w:r w:rsidRPr="002B6F80">
        <w:t>Указом</w:t>
      </w:r>
      <w:r w:rsidRPr="002B6F80">
        <w:t xml:space="preserve"> Президента Республики Беларусь от 30 ноября 2006 г. № 703 (Национальный реестр правовых актов Республики Беларусь, 2006 г., № 201, 1/8121), Программы развития банковского сектора экономики Республики Беларусь на 2006–2010 годы, утвержденной</w:t>
      </w:r>
      <w:proofErr w:type="gramEnd"/>
      <w:r w:rsidRPr="002B6F80">
        <w:t xml:space="preserve"> </w:t>
      </w:r>
      <w:proofErr w:type="gramStart"/>
      <w:r w:rsidRPr="002B6F80">
        <w:t>Указом</w:t>
      </w:r>
      <w:r w:rsidRPr="002B6F80">
        <w:t xml:space="preserve"> Президента Республики Беларусь от 15 января 2007 г. № 27 (Национальный реестр правовых актов Республики Беларусь, 2007 г., № 16, 1/8268), а также на основании </w:t>
      </w:r>
      <w:r w:rsidRPr="002B6F80">
        <w:t>статьи 26</w:t>
      </w:r>
      <w:r w:rsidRPr="002B6F80">
        <w:t xml:space="preserve"> Банковского кодекса Республики Беларусь и в соответствии </w:t>
      </w:r>
      <w:r w:rsidRPr="002B6F80">
        <w:lastRenderedPageBreak/>
        <w:t>с Международным стандартом финансовой отчетности 7 «Отчеты о движении денежных средств», утвержденным Советом по международным стандартам финансовой отчетности.</w:t>
      </w:r>
      <w:proofErr w:type="gramEnd"/>
    </w:p>
    <w:p w:rsidR="002B6F80" w:rsidRPr="002B6F80" w:rsidRDefault="002B6F80" w:rsidP="002B6F80">
      <w:pPr>
        <w:pStyle w:val="point"/>
      </w:pPr>
      <w:r w:rsidRPr="002B6F80">
        <w:t xml:space="preserve">2. Требования, установленные настоящим Стандартом, обязательны для исполнения банками и небанковскими кредитно-финансовыми организациями Республики Беларусь, созданными в </w:t>
      </w:r>
      <w:proofErr w:type="gramStart"/>
      <w:r w:rsidRPr="002B6F80">
        <w:t>соответствии</w:t>
      </w:r>
      <w:proofErr w:type="gramEnd"/>
      <w:r w:rsidRPr="002B6F80">
        <w:t xml:space="preserve"> с законодательством (далее – банки).</w:t>
      </w:r>
    </w:p>
    <w:p w:rsidR="002B6F80" w:rsidRPr="002B6F80" w:rsidRDefault="002B6F80" w:rsidP="002B6F80">
      <w:pPr>
        <w:pStyle w:val="point"/>
      </w:pPr>
      <w:r w:rsidRPr="002B6F80">
        <w:t>3. </w:t>
      </w:r>
      <w:proofErr w:type="gramStart"/>
      <w:r w:rsidRPr="002B6F80">
        <w:t>Цель настоящего Стандарта состоит в требовании представления информации об изменениях в денежных средствах и эквивалентах денежных средств банка за отчетный период и период, предшествующий отчетному, путем составления отчета о движении денежных средств, в котором производится классификация поступлений и выплат денежных средств и их эквивалентов за период, получаемых от операционной, инвестиционной и финансовой деятельности.</w:t>
      </w:r>
      <w:proofErr w:type="gramEnd"/>
    </w:p>
    <w:p w:rsidR="002B6F80" w:rsidRPr="002B6F80" w:rsidRDefault="002B6F80" w:rsidP="002B6F80">
      <w:pPr>
        <w:pStyle w:val="point"/>
      </w:pPr>
      <w:r w:rsidRPr="002B6F80">
        <w:t>4. Для целей настоящего Стандарта нижеперечисленные термины имеют следующие значения:</w:t>
      </w:r>
    </w:p>
    <w:p w:rsidR="002B6F80" w:rsidRPr="002B6F80" w:rsidRDefault="002B6F80" w:rsidP="002B6F80">
      <w:pPr>
        <w:pStyle w:val="newncpi"/>
      </w:pPr>
      <w:proofErr w:type="gramStart"/>
      <w:r w:rsidRPr="002B6F80">
        <w:t>денежные средства – наличные денежные средства в белорусских рублях и иностранной валюте, средства на корреспондентских счетах в Национальном банке Республики Беларусь (далее – Национальный банк);</w:t>
      </w:r>
      <w:proofErr w:type="gramEnd"/>
    </w:p>
    <w:p w:rsidR="002B6F80" w:rsidRPr="002B6F80" w:rsidRDefault="002B6F80" w:rsidP="002B6F80">
      <w:pPr>
        <w:pStyle w:val="newncpi"/>
      </w:pPr>
      <w:r w:rsidRPr="002B6F80">
        <w:t>эквиваленты денежных средств – краткосрочные высоколиквидные вложения, легко обратимые в заранее известную сумму денежных средств и подвергающиеся незначительному риску изменения их стоимости;</w:t>
      </w:r>
    </w:p>
    <w:p w:rsidR="002B6F80" w:rsidRPr="002B6F80" w:rsidRDefault="002B6F80" w:rsidP="002B6F80">
      <w:pPr>
        <w:pStyle w:val="newncpi"/>
      </w:pPr>
      <w:proofErr w:type="spellStart"/>
      <w:r w:rsidRPr="002B6F80">
        <w:t>неденежные</w:t>
      </w:r>
      <w:proofErr w:type="spellEnd"/>
      <w:r w:rsidRPr="002B6F80">
        <w:t xml:space="preserve"> операции – операции, производимые без использования денежных средств или их эквивалентов;</w:t>
      </w:r>
    </w:p>
    <w:p w:rsidR="002B6F80" w:rsidRPr="002B6F80" w:rsidRDefault="002B6F80" w:rsidP="002B6F80">
      <w:pPr>
        <w:pStyle w:val="newncpi"/>
      </w:pPr>
      <w:proofErr w:type="gramStart"/>
      <w:r w:rsidRPr="002B6F80">
        <w:t>потоки денежных средств (далее термин «денежные средства» будет пониматься более широко, охватывая как денежные средства, так и эквиваленты денежных средств) – поступления и выплаты денежных средств, возникающие в процессе деятельности банка;</w:t>
      </w:r>
      <w:proofErr w:type="gramEnd"/>
    </w:p>
    <w:p w:rsidR="002B6F80" w:rsidRPr="002B6F80" w:rsidRDefault="002B6F80" w:rsidP="002B6F80">
      <w:pPr>
        <w:pStyle w:val="newncpi"/>
      </w:pPr>
      <w:r w:rsidRPr="002B6F80">
        <w:t xml:space="preserve">операционная деятельность – основная деятельность банка, приносящая доход, и прочая деятельность, которая не относится к </w:t>
      </w:r>
      <w:proofErr w:type="gramStart"/>
      <w:r w:rsidRPr="002B6F80">
        <w:t>инвестиционной</w:t>
      </w:r>
      <w:proofErr w:type="gramEnd"/>
      <w:r w:rsidRPr="002B6F80">
        <w:t xml:space="preserve"> или финансовой деятельности;</w:t>
      </w:r>
    </w:p>
    <w:p w:rsidR="002B6F80" w:rsidRPr="002B6F80" w:rsidRDefault="002B6F80" w:rsidP="002B6F80">
      <w:pPr>
        <w:pStyle w:val="newncpi"/>
      </w:pPr>
      <w:r w:rsidRPr="002B6F80">
        <w:t>инвестиционная деятельность – деятельность банка по приобретению и продаже долгосрочных финансовых вложений в уставные фонды других юридических лиц, ценных бумаг, удерживаемых до погашения, основных средств, нематериальных активов и других долгосрочных активов, не относящихся к эквивалентам денежных средств;</w:t>
      </w:r>
    </w:p>
    <w:p w:rsidR="002B6F80" w:rsidRPr="002B6F80" w:rsidRDefault="002B6F80" w:rsidP="002B6F80">
      <w:pPr>
        <w:pStyle w:val="newncpi"/>
      </w:pPr>
      <w:r w:rsidRPr="002B6F80">
        <w:t xml:space="preserve">финансовая деятельность – деятельность банка, приводящая к изменению в </w:t>
      </w:r>
      <w:proofErr w:type="gramStart"/>
      <w:r w:rsidRPr="002B6F80">
        <w:t>размере</w:t>
      </w:r>
      <w:proofErr w:type="gramEnd"/>
      <w:r w:rsidRPr="002B6F80">
        <w:t xml:space="preserve"> и/или составе капитала.</w:t>
      </w:r>
    </w:p>
    <w:p w:rsidR="002B6F80" w:rsidRPr="002B6F80" w:rsidRDefault="002B6F80" w:rsidP="002B6F80">
      <w:pPr>
        <w:pStyle w:val="newncpi"/>
      </w:pPr>
      <w:r w:rsidRPr="002B6F80">
        <w:t xml:space="preserve">Термины «функциональная валюта», «валютный курс», «иностранная компания» имеют значения, определенные Национальным </w:t>
      </w:r>
      <w:r w:rsidRPr="002B6F80">
        <w:t>стандартом</w:t>
      </w:r>
      <w:r w:rsidRPr="002B6F80">
        <w:t xml:space="preserve"> финансовой отчетности 21 «Влияние изменений валютных курсов» (НСФО 21), утвержденным постановлением Совета директоров Национального банка Республики Беларусь от 28 сентября 2007 г. № 297.</w:t>
      </w:r>
    </w:p>
    <w:p w:rsidR="002B6F80" w:rsidRPr="002B6F80" w:rsidRDefault="002B6F80" w:rsidP="002B6F80">
      <w:pPr>
        <w:pStyle w:val="newncpi"/>
      </w:pPr>
      <w:r w:rsidRPr="002B6F80">
        <w:t xml:space="preserve">Термин «контроль» имеет значение, определенное Национальным </w:t>
      </w:r>
      <w:r w:rsidRPr="002B6F80">
        <w:t>стандартом</w:t>
      </w:r>
      <w:r w:rsidRPr="002B6F80">
        <w:t xml:space="preserve"> финансовой отчетности 27 «Консолидированная и отдельная финансовая отчетность» (НСФО 27), утвержденным постановлением Совета директоров Национального банка Республики Беларусь от 27 декабря 2007 г. № 408.</w:t>
      </w:r>
    </w:p>
    <w:p w:rsidR="002B6F80" w:rsidRPr="002B6F80" w:rsidRDefault="002B6F80" w:rsidP="002B6F80">
      <w:pPr>
        <w:pStyle w:val="point"/>
      </w:pPr>
      <w:r w:rsidRPr="002B6F80">
        <w:t>5. Отчет о движении денежных средств является обязательной составной частью финансовой отчетности банков. Банки представляют отчет о движении денежных средств за каждый период, за который представляется финансовая отчетность.</w:t>
      </w:r>
    </w:p>
    <w:p w:rsidR="002B6F80" w:rsidRPr="002B6F80" w:rsidRDefault="002B6F80" w:rsidP="002B6F80">
      <w:pPr>
        <w:pStyle w:val="point"/>
      </w:pPr>
      <w:bookmarkStart w:id="4" w:name="a7"/>
      <w:bookmarkEnd w:id="4"/>
      <w:r w:rsidRPr="002B6F80">
        <w:t>6. Цель отчета о движении денежных средств состоит в раскрытии информации о воздействии операционной, инвестиционной и финансовой деятельности банка на величину его денежных средств за соответствующий отчетный период.</w:t>
      </w:r>
    </w:p>
    <w:p w:rsidR="002B6F80" w:rsidRPr="002B6F80" w:rsidRDefault="002B6F80" w:rsidP="002B6F80">
      <w:pPr>
        <w:pStyle w:val="newncpi"/>
      </w:pPr>
      <w:r w:rsidRPr="002B6F80">
        <w:t>Отчет о движении денежных средств позволяет обеспечить пользователей финансовой отчетности возможностью оценивать способность банка создавать денежные средства и использовать их для ведения своих операций, погашения обязательств, обеспечения дохода для своих инвесторов.</w:t>
      </w:r>
    </w:p>
    <w:p w:rsidR="002B6F80" w:rsidRPr="002B6F80" w:rsidRDefault="002B6F80" w:rsidP="002B6F80">
      <w:pPr>
        <w:pStyle w:val="point"/>
      </w:pPr>
      <w:r w:rsidRPr="002B6F80">
        <w:lastRenderedPageBreak/>
        <w:t>7. </w:t>
      </w:r>
      <w:proofErr w:type="gramStart"/>
      <w:r w:rsidRPr="002B6F80">
        <w:t>Информация о движении денежных средств, рассмотренная одновременно с информацией из других форм финансовой отчетности, позволяет пользователям оценить изменения в активах, обязательствах и собственном капитале (далее – капитал) банка, его финансовой структуре (включая ликвидность) и способность банка воздействовать на величину и время движения денежных средств для того, чтобы адаптироваться к изменяющимся обстоятельствам и возможностям.</w:t>
      </w:r>
      <w:proofErr w:type="gramEnd"/>
    </w:p>
    <w:p w:rsidR="002B6F80" w:rsidRPr="002B6F80" w:rsidRDefault="002B6F80" w:rsidP="002B6F80">
      <w:pPr>
        <w:pStyle w:val="chapter"/>
      </w:pPr>
      <w:bookmarkStart w:id="5" w:name="a3"/>
      <w:bookmarkEnd w:id="5"/>
      <w:r w:rsidRPr="002B6F80">
        <w:t>ГЛАВА 2</w:t>
      </w:r>
      <w:r w:rsidRPr="002B6F80">
        <w:br/>
        <w:t>СОСТАВ ОТЧЕТА О ДВИЖЕНИИ ДЕНЕЖНЫХ СРЕДСТВ</w:t>
      </w:r>
    </w:p>
    <w:p w:rsidR="002B6F80" w:rsidRPr="002B6F80" w:rsidRDefault="002B6F80" w:rsidP="002B6F80">
      <w:pPr>
        <w:pStyle w:val="point"/>
      </w:pPr>
      <w:r w:rsidRPr="002B6F80">
        <w:t>8. Отчет о движении денежных средств отдельно показывает потоки денежных средств за период, классифицированные по видам деятельности: операционной, инвестиционной и финансовой.</w:t>
      </w:r>
    </w:p>
    <w:p w:rsidR="002B6F80" w:rsidRPr="002B6F80" w:rsidRDefault="002B6F80" w:rsidP="002B6F80">
      <w:pPr>
        <w:pStyle w:val="point"/>
      </w:pPr>
      <w:r w:rsidRPr="002B6F80">
        <w:t>9. Потоки денежных средств, возникающие от операционной деятельности, являются результатом операций банка и других событий, которые влияют на формирование прибыли (убытка).</w:t>
      </w:r>
    </w:p>
    <w:p w:rsidR="002B6F80" w:rsidRPr="002B6F80" w:rsidRDefault="002B6F80" w:rsidP="002B6F80">
      <w:pPr>
        <w:pStyle w:val="newncpi"/>
      </w:pPr>
      <w:r w:rsidRPr="002B6F80">
        <w:t>Потоки денежных средств от операционной деятельности включают:</w:t>
      </w:r>
    </w:p>
    <w:p w:rsidR="002B6F80" w:rsidRPr="002B6F80" w:rsidRDefault="002B6F80" w:rsidP="002B6F80">
      <w:pPr>
        <w:pStyle w:val="newncpi"/>
      </w:pPr>
      <w:r w:rsidRPr="002B6F80">
        <w:t>полученные процентные доходы;</w:t>
      </w:r>
    </w:p>
    <w:p w:rsidR="002B6F80" w:rsidRPr="002B6F80" w:rsidRDefault="002B6F80" w:rsidP="002B6F80">
      <w:pPr>
        <w:pStyle w:val="newncpi"/>
      </w:pPr>
      <w:r w:rsidRPr="002B6F80">
        <w:t>уплаченные процентные расходы;</w:t>
      </w:r>
    </w:p>
    <w:p w:rsidR="002B6F80" w:rsidRPr="002B6F80" w:rsidRDefault="002B6F80" w:rsidP="002B6F80">
      <w:pPr>
        <w:pStyle w:val="newncpi"/>
      </w:pPr>
      <w:r w:rsidRPr="002B6F80">
        <w:t>полученные комиссионные доходы;</w:t>
      </w:r>
    </w:p>
    <w:p w:rsidR="002B6F80" w:rsidRPr="002B6F80" w:rsidRDefault="002B6F80" w:rsidP="002B6F80">
      <w:pPr>
        <w:pStyle w:val="newncpi"/>
      </w:pPr>
      <w:r w:rsidRPr="002B6F80">
        <w:t>уплаченные комиссионные расходы;</w:t>
      </w:r>
    </w:p>
    <w:p w:rsidR="002B6F80" w:rsidRPr="002B6F80" w:rsidRDefault="002B6F80" w:rsidP="002B6F80">
      <w:pPr>
        <w:pStyle w:val="newncpi"/>
      </w:pPr>
      <w:r w:rsidRPr="002B6F80">
        <w:t>чистый доход по операциям с иностранной валютой;</w:t>
      </w:r>
    </w:p>
    <w:p w:rsidR="002B6F80" w:rsidRPr="002B6F80" w:rsidRDefault="002B6F80" w:rsidP="002B6F80">
      <w:pPr>
        <w:pStyle w:val="newncpi"/>
      </w:pPr>
      <w:r w:rsidRPr="002B6F80">
        <w:t>чистый доход по операциям с ценными бумагами;</w:t>
      </w:r>
    </w:p>
    <w:p w:rsidR="002B6F80" w:rsidRPr="002B6F80" w:rsidRDefault="002B6F80" w:rsidP="002B6F80">
      <w:pPr>
        <w:pStyle w:val="newncpi"/>
      </w:pPr>
      <w:r w:rsidRPr="002B6F80">
        <w:t>доход в форме дивидендов;</w:t>
      </w:r>
    </w:p>
    <w:p w:rsidR="002B6F80" w:rsidRPr="002B6F80" w:rsidRDefault="002B6F80" w:rsidP="002B6F80">
      <w:pPr>
        <w:pStyle w:val="newncpi"/>
      </w:pPr>
      <w:r w:rsidRPr="002B6F80">
        <w:t>прочие полученные доходы;</w:t>
      </w:r>
    </w:p>
    <w:p w:rsidR="002B6F80" w:rsidRPr="002B6F80" w:rsidRDefault="002B6F80" w:rsidP="002B6F80">
      <w:pPr>
        <w:pStyle w:val="newncpi"/>
      </w:pPr>
      <w:r w:rsidRPr="002B6F80">
        <w:t>прочие уплаченные расходы;</w:t>
      </w:r>
    </w:p>
    <w:p w:rsidR="002B6F80" w:rsidRPr="002B6F80" w:rsidRDefault="002B6F80" w:rsidP="002B6F80">
      <w:pPr>
        <w:pStyle w:val="newncpi"/>
      </w:pPr>
      <w:r w:rsidRPr="002B6F80">
        <w:t>уплаченный налог на прибыль;</w:t>
      </w:r>
    </w:p>
    <w:p w:rsidR="002B6F80" w:rsidRPr="002B6F80" w:rsidRDefault="002B6F80" w:rsidP="002B6F80">
      <w:pPr>
        <w:pStyle w:val="newncpi"/>
      </w:pPr>
      <w:proofErr w:type="gramStart"/>
      <w:r w:rsidRPr="002B6F80">
        <w:t>размещение денежных средств в Национальном банке и их возврат;</w:t>
      </w:r>
      <w:proofErr w:type="gramEnd"/>
    </w:p>
    <w:p w:rsidR="002B6F80" w:rsidRPr="002B6F80" w:rsidRDefault="002B6F80" w:rsidP="002B6F80">
      <w:pPr>
        <w:pStyle w:val="newncpi"/>
      </w:pPr>
      <w:r w:rsidRPr="002B6F80">
        <w:t>размещение денежных средств в ценные бумаги (кроме ценных бумаг, удерживаемых до погашения) и их возврат;</w:t>
      </w:r>
    </w:p>
    <w:p w:rsidR="002B6F80" w:rsidRPr="002B6F80" w:rsidRDefault="002B6F80" w:rsidP="002B6F80">
      <w:pPr>
        <w:pStyle w:val="newncpi"/>
      </w:pPr>
      <w:r w:rsidRPr="002B6F80">
        <w:t>размещение денежных средств в форме кредитов и размещение других денежных средств в банках и их возврат;</w:t>
      </w:r>
    </w:p>
    <w:p w:rsidR="002B6F80" w:rsidRPr="002B6F80" w:rsidRDefault="002B6F80" w:rsidP="002B6F80">
      <w:pPr>
        <w:pStyle w:val="newncpi"/>
      </w:pPr>
      <w:r w:rsidRPr="002B6F80">
        <w:t>размещение денежных средств в форме кредитов клиентам и их возврат;</w:t>
      </w:r>
    </w:p>
    <w:p w:rsidR="002B6F80" w:rsidRPr="002B6F80" w:rsidRDefault="002B6F80" w:rsidP="002B6F80">
      <w:pPr>
        <w:pStyle w:val="newncpi"/>
      </w:pPr>
      <w:r w:rsidRPr="002B6F80">
        <w:t>размещение денежных средств в прочие операционные активы и их возврат;</w:t>
      </w:r>
    </w:p>
    <w:p w:rsidR="002B6F80" w:rsidRPr="002B6F80" w:rsidRDefault="002B6F80" w:rsidP="002B6F80">
      <w:pPr>
        <w:pStyle w:val="newncpi"/>
      </w:pPr>
      <w:r w:rsidRPr="002B6F80">
        <w:t>привлечение денежных средств Национального банка и их возврат;</w:t>
      </w:r>
    </w:p>
    <w:p w:rsidR="002B6F80" w:rsidRPr="002B6F80" w:rsidRDefault="002B6F80" w:rsidP="002B6F80">
      <w:pPr>
        <w:pStyle w:val="newncpi"/>
      </w:pPr>
      <w:r w:rsidRPr="002B6F80">
        <w:t>привлечение кредитов и других денежных средств банков и их возврат;</w:t>
      </w:r>
    </w:p>
    <w:p w:rsidR="002B6F80" w:rsidRPr="002B6F80" w:rsidRDefault="002B6F80" w:rsidP="002B6F80">
      <w:pPr>
        <w:pStyle w:val="newncpi"/>
      </w:pPr>
      <w:r w:rsidRPr="002B6F80">
        <w:t>привлечение денежных сре</w:t>
      </w:r>
      <w:proofErr w:type="gramStart"/>
      <w:r w:rsidRPr="002B6F80">
        <w:t>дств кл</w:t>
      </w:r>
      <w:proofErr w:type="gramEnd"/>
      <w:r w:rsidRPr="002B6F80">
        <w:t>иентов и их возврат;</w:t>
      </w:r>
    </w:p>
    <w:p w:rsidR="002B6F80" w:rsidRPr="002B6F80" w:rsidRDefault="002B6F80" w:rsidP="002B6F80">
      <w:pPr>
        <w:pStyle w:val="newncpi"/>
      </w:pPr>
      <w:r w:rsidRPr="002B6F80">
        <w:t>привлечение денежных средств от ценных бумаг, выпущенных банком, и их возврат;</w:t>
      </w:r>
    </w:p>
    <w:p w:rsidR="002B6F80" w:rsidRPr="002B6F80" w:rsidRDefault="002B6F80" w:rsidP="002B6F80">
      <w:pPr>
        <w:pStyle w:val="newncpi"/>
      </w:pPr>
      <w:r w:rsidRPr="002B6F80">
        <w:t>прочие операционные обязательства и их погашение.</w:t>
      </w:r>
    </w:p>
    <w:p w:rsidR="002B6F80" w:rsidRPr="002B6F80" w:rsidRDefault="002B6F80" w:rsidP="002B6F80">
      <w:pPr>
        <w:pStyle w:val="point"/>
      </w:pPr>
      <w:r w:rsidRPr="002B6F80">
        <w:t>10. </w:t>
      </w:r>
      <w:proofErr w:type="gramStart"/>
      <w:r w:rsidRPr="002B6F80">
        <w:t>Потоки денежных средств, возникающие в результате инвестиционной деятельности, характеризуют объемы денежных средств, направленных для приобретения активов, предназначенных для накапливания будущего дохода и будущих поступлений денежных средств.</w:t>
      </w:r>
      <w:proofErr w:type="gramEnd"/>
    </w:p>
    <w:p w:rsidR="002B6F80" w:rsidRPr="002B6F80" w:rsidRDefault="002B6F80" w:rsidP="002B6F80">
      <w:pPr>
        <w:pStyle w:val="newncpi"/>
      </w:pPr>
      <w:r w:rsidRPr="002B6F80">
        <w:t xml:space="preserve">Потоки денежных средств от </w:t>
      </w:r>
      <w:proofErr w:type="gramStart"/>
      <w:r w:rsidRPr="002B6F80">
        <w:t>инвестиционной</w:t>
      </w:r>
      <w:proofErr w:type="gramEnd"/>
      <w:r w:rsidRPr="002B6F80">
        <w:t xml:space="preserve"> деятельности включают:</w:t>
      </w:r>
    </w:p>
    <w:p w:rsidR="002B6F80" w:rsidRPr="002B6F80" w:rsidRDefault="002B6F80" w:rsidP="002B6F80">
      <w:pPr>
        <w:pStyle w:val="newncpi"/>
      </w:pPr>
      <w:r w:rsidRPr="002B6F80">
        <w:t>денежные платежи для приобретения основных средств, нематериальных активов и других долгосрочных активов, не относящихся к эквивалентам денежных средств;</w:t>
      </w:r>
    </w:p>
    <w:p w:rsidR="002B6F80" w:rsidRPr="002B6F80" w:rsidRDefault="002B6F80" w:rsidP="002B6F80">
      <w:pPr>
        <w:pStyle w:val="newncpi"/>
      </w:pPr>
      <w:r w:rsidRPr="002B6F80">
        <w:t>денежные поступления от продажи основных средств, нематериальных активов и других долгосрочных активов, не относящихся к эквивалентам денежных средств;</w:t>
      </w:r>
    </w:p>
    <w:p w:rsidR="002B6F80" w:rsidRPr="002B6F80" w:rsidRDefault="002B6F80" w:rsidP="002B6F80">
      <w:pPr>
        <w:pStyle w:val="newncpi"/>
      </w:pPr>
      <w:r w:rsidRPr="002B6F80">
        <w:t>денежные платежи для приобретения долгосрочных финансовых вложений в уставные фонды других юридических лиц;</w:t>
      </w:r>
    </w:p>
    <w:p w:rsidR="002B6F80" w:rsidRPr="002B6F80" w:rsidRDefault="002B6F80" w:rsidP="002B6F80">
      <w:pPr>
        <w:pStyle w:val="newncpi"/>
      </w:pPr>
      <w:r w:rsidRPr="002B6F80">
        <w:t>денежные поступления от реализации долгосрочных финансовых вложений в уставные фонды других юридических лиц;</w:t>
      </w:r>
    </w:p>
    <w:p w:rsidR="002B6F80" w:rsidRPr="002B6F80" w:rsidRDefault="002B6F80" w:rsidP="002B6F80">
      <w:pPr>
        <w:pStyle w:val="newncpi"/>
      </w:pPr>
      <w:r w:rsidRPr="002B6F80">
        <w:t>денежные платежи для приобретения ценных бумаг, удерживаемых до погашения;</w:t>
      </w:r>
    </w:p>
    <w:p w:rsidR="002B6F80" w:rsidRPr="002B6F80" w:rsidRDefault="002B6F80" w:rsidP="002B6F80">
      <w:pPr>
        <w:pStyle w:val="newncpi"/>
      </w:pPr>
      <w:r w:rsidRPr="002B6F80">
        <w:lastRenderedPageBreak/>
        <w:t>денежные поступления от погашения (реализации) ценных бумаг, удерживаемых до погашения.</w:t>
      </w:r>
    </w:p>
    <w:p w:rsidR="002B6F80" w:rsidRPr="002B6F80" w:rsidRDefault="002B6F80" w:rsidP="002B6F80">
      <w:pPr>
        <w:pStyle w:val="point"/>
      </w:pPr>
      <w:r w:rsidRPr="002B6F80">
        <w:t xml:space="preserve">11. Потоки денежных средств, возникающие в результате получения или утраты контроля над дочерними юридическими лицами, представляются в консолидированном отчете о движении денежных средств отдельно и классифицируются как потоки денежных средств </w:t>
      </w:r>
      <w:proofErr w:type="gramStart"/>
      <w:r w:rsidRPr="002B6F80">
        <w:t>от</w:t>
      </w:r>
      <w:proofErr w:type="gramEnd"/>
      <w:r w:rsidRPr="002B6F80">
        <w:t xml:space="preserve"> инвестиционной деятельности.</w:t>
      </w:r>
    </w:p>
    <w:p w:rsidR="002B6F80" w:rsidRPr="002B6F80" w:rsidRDefault="002B6F80" w:rsidP="002B6F80">
      <w:pPr>
        <w:pStyle w:val="newncpi"/>
      </w:pPr>
      <w:r w:rsidRPr="002B6F80">
        <w:t>Общая сумма денежных средств, уплаченная или полученная при получении или утрате контроля над дочерними юридическими лицами соответственно, представляется в консолидированном отчете о движении денежных средств за вычетом приобретенных или выбывших денежных средств дочерних юридических лиц.</w:t>
      </w:r>
    </w:p>
    <w:p w:rsidR="002B6F80" w:rsidRPr="002B6F80" w:rsidRDefault="002B6F80" w:rsidP="002B6F80">
      <w:pPr>
        <w:pStyle w:val="newncpi"/>
      </w:pPr>
      <w:r w:rsidRPr="002B6F80">
        <w:t xml:space="preserve">Потоки денежных средств, возникающие в результате изменения доли участия в уставных фондах дочерних юридических лиц, но не приводящие к утрате контроля над ними, классифицируются как потоки денежных средств </w:t>
      </w:r>
      <w:proofErr w:type="gramStart"/>
      <w:r w:rsidRPr="002B6F80">
        <w:t>от</w:t>
      </w:r>
      <w:proofErr w:type="gramEnd"/>
      <w:r w:rsidRPr="002B6F80">
        <w:t xml:space="preserve"> финансовой деятельности.</w:t>
      </w:r>
    </w:p>
    <w:p w:rsidR="002B6F80" w:rsidRPr="002B6F80" w:rsidRDefault="002B6F80" w:rsidP="002B6F80">
      <w:pPr>
        <w:pStyle w:val="point"/>
      </w:pPr>
      <w:r w:rsidRPr="002B6F80">
        <w:t>12. </w:t>
      </w:r>
      <w:proofErr w:type="gramStart"/>
      <w:r w:rsidRPr="002B6F80">
        <w:t>Потоки денежных средств, возникающие от финансовой деятельности, позволяют прогнозировать последующие денежные требования со стороны инвесторов.</w:t>
      </w:r>
      <w:proofErr w:type="gramEnd"/>
    </w:p>
    <w:p w:rsidR="002B6F80" w:rsidRPr="002B6F80" w:rsidRDefault="002B6F80" w:rsidP="002B6F80">
      <w:pPr>
        <w:pStyle w:val="newncpi"/>
      </w:pPr>
      <w:r w:rsidRPr="002B6F80">
        <w:t xml:space="preserve">Потоки денежных средств от </w:t>
      </w:r>
      <w:proofErr w:type="gramStart"/>
      <w:r w:rsidRPr="002B6F80">
        <w:t>финансовой</w:t>
      </w:r>
      <w:proofErr w:type="gramEnd"/>
      <w:r w:rsidRPr="002B6F80">
        <w:t xml:space="preserve"> деятельности включают:</w:t>
      </w:r>
    </w:p>
    <w:p w:rsidR="002B6F80" w:rsidRPr="002B6F80" w:rsidRDefault="002B6F80" w:rsidP="002B6F80">
      <w:pPr>
        <w:pStyle w:val="newncpi"/>
      </w:pPr>
      <w:r w:rsidRPr="002B6F80">
        <w:t>денежные поступления от эмиссии акций;</w:t>
      </w:r>
    </w:p>
    <w:p w:rsidR="002B6F80" w:rsidRPr="002B6F80" w:rsidRDefault="002B6F80" w:rsidP="002B6F80">
      <w:pPr>
        <w:pStyle w:val="newncpi"/>
      </w:pPr>
      <w:r w:rsidRPr="002B6F80">
        <w:t>денежные платежи при выкупе собственных акций;</w:t>
      </w:r>
    </w:p>
    <w:p w:rsidR="002B6F80" w:rsidRPr="002B6F80" w:rsidRDefault="002B6F80" w:rsidP="002B6F80">
      <w:pPr>
        <w:pStyle w:val="newncpi"/>
      </w:pPr>
      <w:r w:rsidRPr="002B6F80">
        <w:t>денежные поступления от продажи ранее выкупленных собственных акций;</w:t>
      </w:r>
    </w:p>
    <w:p w:rsidR="002B6F80" w:rsidRPr="002B6F80" w:rsidRDefault="002B6F80" w:rsidP="002B6F80">
      <w:pPr>
        <w:pStyle w:val="newncpi"/>
      </w:pPr>
      <w:r w:rsidRPr="002B6F80">
        <w:t>денежные платежи при выплате дивидендов.</w:t>
      </w:r>
    </w:p>
    <w:p w:rsidR="002B6F80" w:rsidRPr="002B6F80" w:rsidRDefault="002B6F80" w:rsidP="002B6F80">
      <w:pPr>
        <w:pStyle w:val="point"/>
      </w:pPr>
      <w:r w:rsidRPr="002B6F80">
        <w:t>13. Потоки денежных средств, возникающие по операциям с инструментами хеджирования, классифицируются по видам деятельности так же, как потоки денежных средств, возникающие по операциям с объектами хеджирования.</w:t>
      </w:r>
    </w:p>
    <w:p w:rsidR="002B6F80" w:rsidRPr="002B6F80" w:rsidRDefault="002B6F80" w:rsidP="002B6F80">
      <w:pPr>
        <w:pStyle w:val="point"/>
      </w:pPr>
      <w:r w:rsidRPr="002B6F80">
        <w:t>14. Потоки денежных средств не включают движение между статьями, представляющими собой денежные средства и их эквиваленты, так как они являются частью контроля и регулирования денежных операций банка, а не частью его операционной, инвестиционной или финансовой деятельности.</w:t>
      </w:r>
    </w:p>
    <w:p w:rsidR="002B6F80" w:rsidRPr="002B6F80" w:rsidRDefault="002B6F80" w:rsidP="002B6F80">
      <w:pPr>
        <w:pStyle w:val="newncpi"/>
      </w:pPr>
      <w:r w:rsidRPr="002B6F80">
        <w:t>Контроль и регулирование денежных операций включают инвестирование излишних денежных средств в денежные эквиваленты.</w:t>
      </w:r>
    </w:p>
    <w:p w:rsidR="002B6F80" w:rsidRPr="002B6F80" w:rsidRDefault="002B6F80" w:rsidP="002B6F80">
      <w:pPr>
        <w:pStyle w:val="chapter"/>
      </w:pPr>
      <w:bookmarkStart w:id="6" w:name="a4"/>
      <w:bookmarkEnd w:id="6"/>
      <w:r w:rsidRPr="002B6F80">
        <w:t>ГЛАВА 3</w:t>
      </w:r>
      <w:r w:rsidRPr="002B6F80">
        <w:br/>
        <w:t>ПОРЯДОК СОСТАВЛЕНИЯ ОТЧЕТА О ДВИЖЕНИИ ДЕНЕЖНЫХ СРЕДСТВ</w:t>
      </w:r>
    </w:p>
    <w:p w:rsidR="002B6F80" w:rsidRPr="002B6F80" w:rsidRDefault="002B6F80" w:rsidP="002B6F80">
      <w:pPr>
        <w:pStyle w:val="point"/>
      </w:pPr>
      <w:r w:rsidRPr="002B6F80">
        <w:t>15. </w:t>
      </w:r>
      <w:proofErr w:type="gramStart"/>
      <w:r w:rsidRPr="002B6F80">
        <w:t xml:space="preserve">Информация о потоках денежных средств, возникающих в результате операционной деятельности, представляется в отчете о движении денежных средств с использованием либо прямого метода, при котором раскрывается информация об основных видах валовых денежных поступлений и валовых денежных платежей, либо косвенного метода, при котором прибыль (убыток) корректируется с учетом </w:t>
      </w:r>
      <w:proofErr w:type="spellStart"/>
      <w:r w:rsidRPr="002B6F80">
        <w:t>неденежных</w:t>
      </w:r>
      <w:proofErr w:type="spellEnd"/>
      <w:r w:rsidRPr="002B6F80">
        <w:t xml:space="preserve"> операций, доходов и расходов, возникших в результате инвестиционной и/или финансовой деятельности, а</w:t>
      </w:r>
      <w:proofErr w:type="gramEnd"/>
      <w:r w:rsidRPr="002B6F80">
        <w:t xml:space="preserve"> также любых отложенных или начисленных прошлых или будущих денежных поступлений или дополнительных платежей </w:t>
      </w:r>
      <w:proofErr w:type="gramStart"/>
      <w:r w:rsidRPr="002B6F80">
        <w:t>по операционной</w:t>
      </w:r>
      <w:proofErr w:type="gramEnd"/>
      <w:r w:rsidRPr="002B6F80">
        <w:t xml:space="preserve"> деятельности.</w:t>
      </w:r>
    </w:p>
    <w:p w:rsidR="002B6F80" w:rsidRPr="002B6F80" w:rsidRDefault="002B6F80" w:rsidP="002B6F80">
      <w:pPr>
        <w:pStyle w:val="point"/>
      </w:pPr>
      <w:r w:rsidRPr="002B6F80">
        <w:t>16. Информация о доходах и расходах (за исключением доходов и расходов по операциям с иностранной валютой и ценными бумагами), о потоках денежных средств, возникших в результате инвестиционной и финансовой деятельности, представляется путем раздельного раскрытия (без взаимозачета).</w:t>
      </w:r>
    </w:p>
    <w:p w:rsidR="002B6F80" w:rsidRPr="002B6F80" w:rsidRDefault="002B6F80" w:rsidP="002B6F80">
      <w:pPr>
        <w:pStyle w:val="newncpi"/>
      </w:pPr>
      <w:r w:rsidRPr="002B6F80">
        <w:t>Информация о доходах и расходах по операциям с иностранной валютой, ценными бумагами и потоках денежных средств, возникших от изменения операционных активов и операционных обязательств, представляется на основе нетто-метода, то есть на основе взаимозачета.</w:t>
      </w:r>
    </w:p>
    <w:p w:rsidR="002B6F80" w:rsidRPr="002B6F80" w:rsidRDefault="002B6F80" w:rsidP="002B6F80">
      <w:pPr>
        <w:pStyle w:val="point"/>
      </w:pPr>
      <w:r w:rsidRPr="002B6F80">
        <w:t xml:space="preserve">17. По нетто-методу в </w:t>
      </w:r>
      <w:proofErr w:type="gramStart"/>
      <w:r w:rsidRPr="002B6F80">
        <w:t>отчете</w:t>
      </w:r>
      <w:proofErr w:type="gramEnd"/>
      <w:r w:rsidRPr="002B6F80">
        <w:t xml:space="preserve"> о движении денежных средств представляются следующие потоки денежных средств, возникающие от операционной деятельности:</w:t>
      </w:r>
    </w:p>
    <w:p w:rsidR="002B6F80" w:rsidRPr="002B6F80" w:rsidRDefault="002B6F80" w:rsidP="002B6F80">
      <w:pPr>
        <w:pStyle w:val="underpoint"/>
      </w:pPr>
      <w:r w:rsidRPr="002B6F80">
        <w:lastRenderedPageBreak/>
        <w:t xml:space="preserve">17.1. потоки денежных средств, возникающие в </w:t>
      </w:r>
      <w:proofErr w:type="gramStart"/>
      <w:r w:rsidRPr="002B6F80">
        <w:t>результате</w:t>
      </w:r>
      <w:proofErr w:type="gramEnd"/>
      <w:r w:rsidRPr="002B6F80">
        <w:t xml:space="preserve"> размещения и возврата следующих операционных активов:</w:t>
      </w:r>
    </w:p>
    <w:p w:rsidR="002B6F80" w:rsidRPr="002B6F80" w:rsidRDefault="002B6F80" w:rsidP="002B6F80">
      <w:pPr>
        <w:pStyle w:val="newncpi"/>
      </w:pPr>
      <w:proofErr w:type="gramStart"/>
      <w:r w:rsidRPr="002B6F80">
        <w:t>денежных средств в Национальном банке;</w:t>
      </w:r>
      <w:proofErr w:type="gramEnd"/>
    </w:p>
    <w:p w:rsidR="002B6F80" w:rsidRPr="002B6F80" w:rsidRDefault="002B6F80" w:rsidP="002B6F80">
      <w:pPr>
        <w:pStyle w:val="newncpi"/>
      </w:pPr>
      <w:r w:rsidRPr="002B6F80">
        <w:t xml:space="preserve">денежных средств в ценных </w:t>
      </w:r>
      <w:proofErr w:type="gramStart"/>
      <w:r w:rsidRPr="002B6F80">
        <w:t>бумагах</w:t>
      </w:r>
      <w:proofErr w:type="gramEnd"/>
      <w:r w:rsidRPr="002B6F80">
        <w:t xml:space="preserve"> (кроме ценных бумаг, удерживаемых до погашения);</w:t>
      </w:r>
    </w:p>
    <w:p w:rsidR="002B6F80" w:rsidRPr="002B6F80" w:rsidRDefault="002B6F80" w:rsidP="002B6F80">
      <w:pPr>
        <w:pStyle w:val="newncpi"/>
      </w:pPr>
      <w:r w:rsidRPr="002B6F80">
        <w:t>кредитов и других денежных средств в банках;</w:t>
      </w:r>
    </w:p>
    <w:p w:rsidR="002B6F80" w:rsidRPr="002B6F80" w:rsidRDefault="002B6F80" w:rsidP="002B6F80">
      <w:pPr>
        <w:pStyle w:val="newncpi"/>
      </w:pPr>
      <w:r w:rsidRPr="002B6F80">
        <w:t>кредитов, выданных клиентам;</w:t>
      </w:r>
    </w:p>
    <w:p w:rsidR="002B6F80" w:rsidRPr="002B6F80" w:rsidRDefault="002B6F80" w:rsidP="002B6F80">
      <w:pPr>
        <w:pStyle w:val="newncpi"/>
      </w:pPr>
      <w:r w:rsidRPr="002B6F80">
        <w:t>денежных средств в прочих операционных активах;</w:t>
      </w:r>
    </w:p>
    <w:p w:rsidR="002B6F80" w:rsidRPr="002B6F80" w:rsidRDefault="002B6F80" w:rsidP="002B6F80">
      <w:pPr>
        <w:pStyle w:val="underpoint"/>
      </w:pPr>
      <w:r w:rsidRPr="002B6F80">
        <w:t xml:space="preserve">17.2. потоки денежных средств, возникающие в </w:t>
      </w:r>
      <w:proofErr w:type="gramStart"/>
      <w:r w:rsidRPr="002B6F80">
        <w:t>результате</w:t>
      </w:r>
      <w:proofErr w:type="gramEnd"/>
      <w:r w:rsidRPr="002B6F80">
        <w:t xml:space="preserve"> привлечения и возврата следующих операционных обязательств:</w:t>
      </w:r>
    </w:p>
    <w:p w:rsidR="002B6F80" w:rsidRPr="002B6F80" w:rsidRDefault="002B6F80" w:rsidP="002B6F80">
      <w:pPr>
        <w:pStyle w:val="newncpi"/>
      </w:pPr>
      <w:r w:rsidRPr="002B6F80">
        <w:t>денежных средств Национального банка;</w:t>
      </w:r>
    </w:p>
    <w:p w:rsidR="002B6F80" w:rsidRPr="002B6F80" w:rsidRDefault="002B6F80" w:rsidP="002B6F80">
      <w:pPr>
        <w:pStyle w:val="newncpi"/>
      </w:pPr>
      <w:r w:rsidRPr="002B6F80">
        <w:t>кредитов и других средств банков;</w:t>
      </w:r>
    </w:p>
    <w:p w:rsidR="002B6F80" w:rsidRPr="002B6F80" w:rsidRDefault="002B6F80" w:rsidP="002B6F80">
      <w:pPr>
        <w:pStyle w:val="newncpi"/>
      </w:pPr>
      <w:r w:rsidRPr="002B6F80">
        <w:t>денежных сре</w:t>
      </w:r>
      <w:proofErr w:type="gramStart"/>
      <w:r w:rsidRPr="002B6F80">
        <w:t>дств кл</w:t>
      </w:r>
      <w:proofErr w:type="gramEnd"/>
      <w:r w:rsidRPr="002B6F80">
        <w:t>иентов;</w:t>
      </w:r>
    </w:p>
    <w:p w:rsidR="002B6F80" w:rsidRPr="002B6F80" w:rsidRDefault="002B6F80" w:rsidP="002B6F80">
      <w:pPr>
        <w:pStyle w:val="newncpi"/>
      </w:pPr>
      <w:r w:rsidRPr="002B6F80">
        <w:t>денежных средств от ценных бумаг, выпущенных банком;</w:t>
      </w:r>
    </w:p>
    <w:p w:rsidR="002B6F80" w:rsidRPr="002B6F80" w:rsidRDefault="002B6F80" w:rsidP="002B6F80">
      <w:pPr>
        <w:pStyle w:val="newncpi"/>
      </w:pPr>
      <w:r w:rsidRPr="002B6F80">
        <w:t>денежных средств от прочих операционных обязательств.</w:t>
      </w:r>
    </w:p>
    <w:p w:rsidR="002B6F80" w:rsidRPr="002B6F80" w:rsidRDefault="002B6F80" w:rsidP="002B6F80">
      <w:pPr>
        <w:pStyle w:val="point"/>
      </w:pPr>
      <w:r w:rsidRPr="002B6F80">
        <w:t>18. </w:t>
      </w:r>
      <w:proofErr w:type="gramStart"/>
      <w:r w:rsidRPr="002B6F80">
        <w:t>Потоки денежных средств, возникающие в результате совершения операций в иностранной валюте, отражаются в функциональной валюте путем применения к сумме в иностранной валюте валютного курса, действующего на дату возникновения данного потока денежных средств.</w:t>
      </w:r>
      <w:proofErr w:type="gramEnd"/>
    </w:p>
    <w:p w:rsidR="002B6F80" w:rsidRPr="002B6F80" w:rsidRDefault="002B6F80" w:rsidP="002B6F80">
      <w:pPr>
        <w:pStyle w:val="point"/>
      </w:pPr>
      <w:r w:rsidRPr="002B6F80">
        <w:t>19. Курсовые разницы, возникающие при переоценке активов и обязательств в иностранной валюте, не включаются в потоки денежных средств. При этом для обеспечения соответствия изменения остатка денежных средств на начало и на конец отчетного периода результат изменений валютного курса на денежные средства отражается в отчете о движении денежных средств отдельно от потоков денежных средств от операционной, инвестиционной и финансовой деятельности.</w:t>
      </w:r>
    </w:p>
    <w:p w:rsidR="002B6F80" w:rsidRPr="002B6F80" w:rsidRDefault="002B6F80" w:rsidP="002B6F80">
      <w:pPr>
        <w:pStyle w:val="point"/>
      </w:pPr>
      <w:r w:rsidRPr="002B6F80">
        <w:t>20. Потоки денежных средств иностранной дочерней компании отражаются в функциональной валюте по валютному курсу на дату возникновения данного потока денежных средств. При этом для пересчета доходов и расходов иностранной дочерней компании может использоваться средний валютный курс за период.</w:t>
      </w:r>
    </w:p>
    <w:p w:rsidR="002B6F80" w:rsidRPr="002B6F80" w:rsidRDefault="002B6F80" w:rsidP="002B6F80">
      <w:pPr>
        <w:pStyle w:val="point"/>
      </w:pPr>
      <w:r w:rsidRPr="002B6F80">
        <w:t>21. При отражении банком в финансовой отчетности инвестиций в дочерние или зависимые юридические лица методом учета по себестоимости или методом долевого участия банк в отчет о движении денежных сре</w:t>
      </w:r>
      <w:proofErr w:type="gramStart"/>
      <w:r w:rsidRPr="002B6F80">
        <w:t>дств вкл</w:t>
      </w:r>
      <w:proofErr w:type="gramEnd"/>
      <w:r w:rsidRPr="002B6F80">
        <w:t>ючает потоки денежных средств, возникшие между ним и дочерними или зависимыми юридическими лицами.</w:t>
      </w:r>
    </w:p>
    <w:p w:rsidR="002B6F80" w:rsidRPr="002B6F80" w:rsidRDefault="002B6F80" w:rsidP="002B6F80">
      <w:pPr>
        <w:pStyle w:val="point"/>
      </w:pPr>
      <w:r w:rsidRPr="002B6F80">
        <w:t>22. При отражении банком в консолидированной финансовой отчетности инвестиций в совместно контролируемое юридическое лицо методом пропорциональной консолидации в отчет о движении денежных сре</w:t>
      </w:r>
      <w:proofErr w:type="gramStart"/>
      <w:r w:rsidRPr="002B6F80">
        <w:t>дств вкл</w:t>
      </w:r>
      <w:proofErr w:type="gramEnd"/>
      <w:r w:rsidRPr="002B6F80">
        <w:t>ючается пропорциональная доля банка поступлений и выплат денежных средств совместно контролируемого юридического лица.</w:t>
      </w:r>
    </w:p>
    <w:p w:rsidR="002B6F80" w:rsidRPr="002B6F80" w:rsidRDefault="002B6F80" w:rsidP="002B6F80">
      <w:pPr>
        <w:pStyle w:val="newncpi"/>
      </w:pPr>
      <w:proofErr w:type="gramStart"/>
      <w:r w:rsidRPr="002B6F80">
        <w:t>В случае отражения банком в консолидированной финансовой отчетности доли участия в совместно контролируемом юридическом лице методом долевого участия банк в отчет о движении денежных средств включает поступления и выплаты денежных средств, связанные с его инвестициями в совместно контролируемое юридическое лицо, и другие потоки денежных средств, возникшие между ними, в полном объеме.</w:t>
      </w:r>
      <w:proofErr w:type="gramEnd"/>
    </w:p>
    <w:p w:rsidR="002B6F80" w:rsidRPr="002B6F80" w:rsidRDefault="002B6F80" w:rsidP="002B6F80">
      <w:pPr>
        <w:pStyle w:val="point"/>
      </w:pPr>
      <w:r w:rsidRPr="002B6F80">
        <w:t>23. </w:t>
      </w:r>
      <w:proofErr w:type="spellStart"/>
      <w:r w:rsidRPr="002B6F80">
        <w:t>Неденежные</w:t>
      </w:r>
      <w:proofErr w:type="spellEnd"/>
      <w:r w:rsidRPr="002B6F80">
        <w:t xml:space="preserve"> операции банка не оказывают непосредственного воздействия на текущие потоки денежных средств, хотя влияют на структуру капитала и активов банка. К ним относятся:</w:t>
      </w:r>
    </w:p>
    <w:p w:rsidR="002B6F80" w:rsidRPr="002B6F80" w:rsidRDefault="002B6F80" w:rsidP="002B6F80">
      <w:pPr>
        <w:pStyle w:val="newncpi"/>
      </w:pPr>
      <w:proofErr w:type="gramStart"/>
      <w:r w:rsidRPr="002B6F80">
        <w:t>начисленные, но невыплаченные расходы;</w:t>
      </w:r>
      <w:proofErr w:type="gramEnd"/>
    </w:p>
    <w:p w:rsidR="002B6F80" w:rsidRPr="002B6F80" w:rsidRDefault="002B6F80" w:rsidP="002B6F80">
      <w:pPr>
        <w:pStyle w:val="newncpi"/>
      </w:pPr>
      <w:r w:rsidRPr="002B6F80">
        <w:t>начисленные, но неполученные доходы;</w:t>
      </w:r>
    </w:p>
    <w:p w:rsidR="002B6F80" w:rsidRPr="002B6F80" w:rsidRDefault="002B6F80" w:rsidP="002B6F80">
      <w:pPr>
        <w:pStyle w:val="newncpi"/>
      </w:pPr>
      <w:proofErr w:type="gramStart"/>
      <w:r w:rsidRPr="002B6F80">
        <w:t>изменение стоимости (переоценка) активов (иностранной валюты, драгоценных металлов, ценных бумаг, производных инструментов, основных средств, незавершенного строительства, неустановленного оборудования и прочих статей баланса) в соответствии с законодательством;</w:t>
      </w:r>
      <w:proofErr w:type="gramEnd"/>
    </w:p>
    <w:p w:rsidR="002B6F80" w:rsidRPr="002B6F80" w:rsidRDefault="002B6F80" w:rsidP="002B6F80">
      <w:pPr>
        <w:pStyle w:val="newncpi"/>
      </w:pPr>
      <w:r w:rsidRPr="002B6F80">
        <w:lastRenderedPageBreak/>
        <w:t>изменение стоимости (переоценка) обязательств (иностранной валюты, драгоценных металлов, ценных бумаг, производных инструментов и прочих статей баланса) в соответствии с законодательством;</w:t>
      </w:r>
    </w:p>
    <w:p w:rsidR="002B6F80" w:rsidRPr="002B6F80" w:rsidRDefault="002B6F80" w:rsidP="002B6F80">
      <w:pPr>
        <w:pStyle w:val="newncpi"/>
      </w:pPr>
      <w:r w:rsidRPr="002B6F80">
        <w:t>отчисления и уменьшение резервов на покрытие возможных убытков банка и других резервов;</w:t>
      </w:r>
    </w:p>
    <w:p w:rsidR="002B6F80" w:rsidRPr="002B6F80" w:rsidRDefault="002B6F80" w:rsidP="002B6F80">
      <w:pPr>
        <w:pStyle w:val="newncpi"/>
      </w:pPr>
      <w:r w:rsidRPr="002B6F80">
        <w:t>амортизация основных средств и нематериальных активов;</w:t>
      </w:r>
    </w:p>
    <w:p w:rsidR="002B6F80" w:rsidRPr="002B6F80" w:rsidRDefault="002B6F80" w:rsidP="002B6F80">
      <w:pPr>
        <w:pStyle w:val="newncpi"/>
      </w:pPr>
      <w:r w:rsidRPr="002B6F80">
        <w:t>безвозмездная передача основных средств, нематериальных активов и прочего имущества;</w:t>
      </w:r>
    </w:p>
    <w:p w:rsidR="002B6F80" w:rsidRPr="002B6F80" w:rsidRDefault="002B6F80" w:rsidP="002B6F80">
      <w:pPr>
        <w:pStyle w:val="newncpi"/>
      </w:pPr>
      <w:proofErr w:type="spellStart"/>
      <w:r w:rsidRPr="002B6F80">
        <w:t>неденежные</w:t>
      </w:r>
      <w:proofErr w:type="spellEnd"/>
      <w:r w:rsidRPr="002B6F80">
        <w:t xml:space="preserve"> взносы в уставный фонд других юридических лиц;</w:t>
      </w:r>
    </w:p>
    <w:p w:rsidR="002B6F80" w:rsidRPr="002B6F80" w:rsidRDefault="002B6F80" w:rsidP="002B6F80">
      <w:pPr>
        <w:pStyle w:val="newncpi"/>
      </w:pPr>
      <w:proofErr w:type="spellStart"/>
      <w:r w:rsidRPr="002B6F80">
        <w:t>неденежные</w:t>
      </w:r>
      <w:proofErr w:type="spellEnd"/>
      <w:r w:rsidRPr="002B6F80">
        <w:t xml:space="preserve"> взносы в уставный фонд банка;</w:t>
      </w:r>
    </w:p>
    <w:p w:rsidR="002B6F80" w:rsidRPr="002B6F80" w:rsidRDefault="002B6F80" w:rsidP="002B6F80">
      <w:pPr>
        <w:pStyle w:val="newncpi"/>
      </w:pPr>
      <w:r w:rsidRPr="002B6F80">
        <w:t>переклассификация ценных бумаг и других активов;</w:t>
      </w:r>
    </w:p>
    <w:p w:rsidR="002B6F80" w:rsidRPr="002B6F80" w:rsidRDefault="002B6F80" w:rsidP="002B6F80">
      <w:pPr>
        <w:pStyle w:val="newncpi"/>
      </w:pPr>
      <w:r w:rsidRPr="002B6F80">
        <w:t>переклассификация обязательств;</w:t>
      </w:r>
    </w:p>
    <w:p w:rsidR="002B6F80" w:rsidRPr="002B6F80" w:rsidRDefault="002B6F80" w:rsidP="002B6F80">
      <w:pPr>
        <w:pStyle w:val="newncpi"/>
      </w:pPr>
      <w:r w:rsidRPr="002B6F80">
        <w:t>погашение задолженности резервами;</w:t>
      </w:r>
    </w:p>
    <w:p w:rsidR="002B6F80" w:rsidRPr="002B6F80" w:rsidRDefault="002B6F80" w:rsidP="002B6F80">
      <w:pPr>
        <w:pStyle w:val="newncpi"/>
      </w:pPr>
      <w:r w:rsidRPr="002B6F80">
        <w:t>расходы на остаточную стоимость при реализации основных средств, нематериальных активов;</w:t>
      </w:r>
    </w:p>
    <w:p w:rsidR="002B6F80" w:rsidRPr="002B6F80" w:rsidRDefault="002B6F80" w:rsidP="002B6F80">
      <w:pPr>
        <w:pStyle w:val="newncpi"/>
      </w:pPr>
      <w:r w:rsidRPr="002B6F80">
        <w:t>операции замены активов и обязательств банка, включая исполнение требований или обязательств по получению денежных средств путем передачи активов, отличных от денежных средств, в соответствии с законодательством.</w:t>
      </w:r>
    </w:p>
    <w:p w:rsidR="002B6F80" w:rsidRPr="002B6F80" w:rsidRDefault="002B6F80" w:rsidP="002B6F80">
      <w:pPr>
        <w:pStyle w:val="newncpi"/>
      </w:pPr>
      <w:proofErr w:type="spellStart"/>
      <w:r w:rsidRPr="002B6F80">
        <w:t>Неденежные</w:t>
      </w:r>
      <w:proofErr w:type="spellEnd"/>
      <w:r w:rsidRPr="002B6F80">
        <w:t xml:space="preserve"> операции не включаются в отчет о движении денежных средств, что отвечает целям данного отчета, поскольку эти операции не вызывают движения денежных средств. Информация о </w:t>
      </w:r>
      <w:proofErr w:type="spellStart"/>
      <w:r w:rsidRPr="002B6F80">
        <w:t>неденежных</w:t>
      </w:r>
      <w:proofErr w:type="spellEnd"/>
      <w:r w:rsidRPr="002B6F80">
        <w:t xml:space="preserve"> операциях раскрывается в пояснительной записке к финансовой отчетности.</w:t>
      </w:r>
    </w:p>
    <w:p w:rsidR="002B6F80" w:rsidRPr="002B6F80" w:rsidRDefault="002B6F80" w:rsidP="002B6F80">
      <w:pPr>
        <w:pStyle w:val="chapter"/>
      </w:pPr>
      <w:bookmarkStart w:id="7" w:name="a5"/>
      <w:bookmarkEnd w:id="7"/>
      <w:r w:rsidRPr="002B6F80">
        <w:t>ГЛАВА 4</w:t>
      </w:r>
      <w:r w:rsidRPr="002B6F80">
        <w:br/>
        <w:t>РАСКРЫТИЕ ИНФОРМАЦИИ</w:t>
      </w:r>
    </w:p>
    <w:p w:rsidR="002B6F80" w:rsidRPr="002B6F80" w:rsidRDefault="002B6F80" w:rsidP="002B6F80">
      <w:pPr>
        <w:pStyle w:val="point"/>
      </w:pPr>
      <w:r w:rsidRPr="002B6F80">
        <w:t>24. Дополнительная информация к отчету о движении денежных средств раскрывается в пояснительной записке к финансовой отчетности.</w:t>
      </w:r>
    </w:p>
    <w:p w:rsidR="002B6F80" w:rsidRPr="002B6F80" w:rsidRDefault="002B6F80" w:rsidP="002B6F80">
      <w:pPr>
        <w:pStyle w:val="point"/>
      </w:pPr>
      <w:r w:rsidRPr="002B6F80">
        <w:t>25. Банк в пояснительной записке к финансовой отчетности по отчету о движении денежных средств раскрывает информацию:</w:t>
      </w:r>
    </w:p>
    <w:p w:rsidR="002B6F80" w:rsidRPr="002B6F80" w:rsidRDefault="002B6F80" w:rsidP="002B6F80">
      <w:pPr>
        <w:pStyle w:val="newncpi"/>
      </w:pPr>
      <w:r w:rsidRPr="002B6F80">
        <w:t>о составе денежных средств и их эквивалентов и о подходах к определению данного состава;</w:t>
      </w:r>
    </w:p>
    <w:p w:rsidR="002B6F80" w:rsidRPr="002B6F80" w:rsidRDefault="002B6F80" w:rsidP="002B6F80">
      <w:pPr>
        <w:pStyle w:val="newncpi"/>
      </w:pPr>
      <w:r w:rsidRPr="002B6F80">
        <w:t xml:space="preserve">о </w:t>
      </w:r>
      <w:proofErr w:type="spellStart"/>
      <w:r w:rsidRPr="002B6F80">
        <w:t>неденежных</w:t>
      </w:r>
      <w:proofErr w:type="spellEnd"/>
      <w:r w:rsidRPr="002B6F80">
        <w:t xml:space="preserve"> операциях.</w:t>
      </w:r>
    </w:p>
    <w:p w:rsidR="002B6F80" w:rsidRPr="002B6F80" w:rsidRDefault="002B6F80" w:rsidP="002B6F80">
      <w:pPr>
        <w:pStyle w:val="point"/>
      </w:pPr>
      <w:r w:rsidRPr="002B6F80">
        <w:t>26. Банк представляет сверку сумм денежных средств и их эквивалентов отчета о движении денежных сре</w:t>
      </w:r>
      <w:proofErr w:type="gramStart"/>
      <w:r w:rsidRPr="002B6F80">
        <w:t>дств с с</w:t>
      </w:r>
      <w:proofErr w:type="gramEnd"/>
      <w:r w:rsidRPr="002B6F80">
        <w:t>оответствующими статьями, представленными в бухгалтерском балансе.</w:t>
      </w:r>
    </w:p>
    <w:p w:rsidR="002B6F80" w:rsidRPr="002B6F80" w:rsidRDefault="002B6F80" w:rsidP="002B6F80">
      <w:pPr>
        <w:pStyle w:val="point"/>
      </w:pPr>
      <w:r w:rsidRPr="002B6F80">
        <w:t>27. Банк в пояснительной записке к консолидированной финансовой отчетности по консолидированному отчету о движении денежных средств раскрывает при получении или утрате контроля над дочерними юридическими лицами в течение отчетного периода каждый из следующих моментов:</w:t>
      </w:r>
    </w:p>
    <w:p w:rsidR="002B6F80" w:rsidRPr="002B6F80" w:rsidRDefault="002B6F80" w:rsidP="002B6F80">
      <w:pPr>
        <w:pStyle w:val="newncpi"/>
      </w:pPr>
      <w:r w:rsidRPr="002B6F80">
        <w:t>общую стоимость, уплаченную или полученную при получении или утрате контроля над дочерними юридическими лицами соответственно;</w:t>
      </w:r>
    </w:p>
    <w:p w:rsidR="002B6F80" w:rsidRPr="002B6F80" w:rsidRDefault="002B6F80" w:rsidP="002B6F80">
      <w:pPr>
        <w:pStyle w:val="newncpi"/>
      </w:pPr>
      <w:r w:rsidRPr="002B6F80">
        <w:t>часть стоимости, уплаченной или полученной денежными средствами при получении или утрате контроля над дочерними юридическими лицами соответственно;</w:t>
      </w:r>
    </w:p>
    <w:p w:rsidR="002B6F80" w:rsidRPr="002B6F80" w:rsidRDefault="002B6F80" w:rsidP="002B6F80">
      <w:pPr>
        <w:pStyle w:val="newncpi"/>
      </w:pPr>
      <w:r w:rsidRPr="002B6F80">
        <w:t>сумму денежных средств дочерних юридических лиц, над которыми получен или утрачен контроль;</w:t>
      </w:r>
    </w:p>
    <w:p w:rsidR="002B6F80" w:rsidRPr="002B6F80" w:rsidRDefault="002B6F80" w:rsidP="002B6F80">
      <w:pPr>
        <w:pStyle w:val="newncpi"/>
      </w:pPr>
      <w:r w:rsidRPr="002B6F80">
        <w:t>сумму активов и обязательств, кроме денежных средств, дочерних юридических лиц, над которыми получен или утрачен контроль, суммированную по основным категориям.</w:t>
      </w:r>
    </w:p>
    <w:p w:rsidR="002B6F80" w:rsidRPr="002B6F80" w:rsidRDefault="002B6F80" w:rsidP="002B6F80">
      <w:pPr>
        <w:pStyle w:val="point"/>
      </w:pPr>
      <w:r w:rsidRPr="002B6F80">
        <w:t>28. Банк в пояснительной записке к консолидированной финансовой отчетности по консолидированному отчету о движении денежных средств также раскрывает:</w:t>
      </w:r>
    </w:p>
    <w:p w:rsidR="002B6F80" w:rsidRPr="002B6F80" w:rsidRDefault="002B6F80" w:rsidP="002B6F80">
      <w:pPr>
        <w:pStyle w:val="newncpi"/>
      </w:pPr>
      <w:r w:rsidRPr="002B6F80">
        <w:t>сумму остатков денежных средств, не доступных для использования банковской группой, банковским холдингом;</w:t>
      </w:r>
    </w:p>
    <w:p w:rsidR="002B6F80" w:rsidRPr="002B6F80" w:rsidRDefault="002B6F80" w:rsidP="002B6F80">
      <w:pPr>
        <w:pStyle w:val="newncpi"/>
      </w:pPr>
      <w:r w:rsidRPr="002B6F80">
        <w:lastRenderedPageBreak/>
        <w:t>сумму неиспользованных банковской группой, банковским холдингом кредитных линий, с указанием имеющихся ограничений по использованию этих кредитов;</w:t>
      </w:r>
    </w:p>
    <w:p w:rsidR="002B6F80" w:rsidRPr="002B6F80" w:rsidRDefault="002B6F80" w:rsidP="002B6F80">
      <w:pPr>
        <w:pStyle w:val="newncpi"/>
      </w:pPr>
      <w:r w:rsidRPr="002B6F80">
        <w:t>общие величины поступлений и выплат денежных средств в разбивке на операционную, инвестиционную или финансовую деятельности, относящиеся к долям участия в совместной деятельности, информация о которых представляется методом пропорциональной консолидации;</w:t>
      </w:r>
    </w:p>
    <w:p w:rsidR="002B6F80" w:rsidRPr="002B6F80" w:rsidRDefault="002B6F80" w:rsidP="002B6F80">
      <w:pPr>
        <w:pStyle w:val="newncpi"/>
      </w:pPr>
      <w:r w:rsidRPr="002B6F80">
        <w:t xml:space="preserve">прочую информацию, необходимую для понимания отчета о движении денежных средств, а </w:t>
      </w:r>
      <w:proofErr w:type="gramStart"/>
      <w:r w:rsidRPr="002B6F80">
        <w:t>также</w:t>
      </w:r>
      <w:proofErr w:type="gramEnd"/>
      <w:r w:rsidRPr="002B6F80">
        <w:t xml:space="preserve"> которая полезна пользователям финансовой отчетности.</w:t>
      </w:r>
    </w:p>
    <w:p w:rsidR="002B6F80" w:rsidRPr="002B6F80" w:rsidRDefault="002B6F80" w:rsidP="002B6F80">
      <w:pPr>
        <w:pStyle w:val="newncpi"/>
      </w:pPr>
      <w:r w:rsidRPr="002B6F80">
        <w:t> </w:t>
      </w:r>
    </w:p>
    <w:p w:rsidR="007645C7" w:rsidRDefault="007645C7"/>
    <w:sectPr w:rsidR="0076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80"/>
    <w:rsid w:val="001D3C2B"/>
    <w:rsid w:val="002B6F80"/>
    <w:rsid w:val="007645C7"/>
    <w:rsid w:val="008B17C0"/>
    <w:rsid w:val="00B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F80"/>
    <w:rPr>
      <w:color w:val="0038C8"/>
      <w:u w:val="single"/>
    </w:rPr>
  </w:style>
  <w:style w:type="paragraph" w:customStyle="1" w:styleId="title">
    <w:name w:val="title"/>
    <w:basedOn w:val="a"/>
    <w:rsid w:val="002B6F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2B6F8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u">
    <w:name w:val="titleu"/>
    <w:basedOn w:val="a"/>
    <w:rsid w:val="002B6F8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B6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B6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B6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B6F8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B6F80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B6F8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2B6F80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2B6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B6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B6F8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B6F8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B6F8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B6F8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B6F8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2B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F80"/>
    <w:rPr>
      <w:color w:val="0038C8"/>
      <w:u w:val="single"/>
    </w:rPr>
  </w:style>
  <w:style w:type="paragraph" w:customStyle="1" w:styleId="title">
    <w:name w:val="title"/>
    <w:basedOn w:val="a"/>
    <w:rsid w:val="002B6F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2B6F8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itleu">
    <w:name w:val="titleu"/>
    <w:basedOn w:val="a"/>
    <w:rsid w:val="002B6F8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B6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B6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B6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B6F8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B6F80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B6F8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2B6F80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2B6F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B6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B6F8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B6F8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B6F8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B6F8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B6F8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2B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657D5-92F7-477F-A636-67D69DE00B38}"/>
</file>

<file path=customXml/itemProps2.xml><?xml version="1.0" encoding="utf-8"?>
<ds:datastoreItem xmlns:ds="http://schemas.openxmlformats.org/officeDocument/2006/customXml" ds:itemID="{EC538B9E-C256-421D-833D-F6CC442E2A7E}"/>
</file>

<file path=customXml/itemProps3.xml><?xml version="1.0" encoding="utf-8"?>
<ds:datastoreItem xmlns:ds="http://schemas.openxmlformats.org/officeDocument/2006/customXml" ds:itemID="{96B33A4B-6A7A-48F8-9BD2-065ED1800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Shikalchik</dc:creator>
  <cp:lastModifiedBy>Sergey Shikalchik</cp:lastModifiedBy>
  <cp:revision>1</cp:revision>
  <dcterms:created xsi:type="dcterms:W3CDTF">2016-03-05T10:05:00Z</dcterms:created>
  <dcterms:modified xsi:type="dcterms:W3CDTF">2016-03-05T10:05:00Z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