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78" w:rsidRPr="00343262" w:rsidRDefault="00930978" w:rsidP="00930978">
      <w:pPr>
        <w:jc w:val="right"/>
        <w:rPr>
          <w:sz w:val="26"/>
          <w:szCs w:val="26"/>
        </w:rPr>
      </w:pPr>
      <w:bookmarkStart w:id="0" w:name="_GoBack"/>
      <w:r w:rsidRPr="00343262">
        <w:rPr>
          <w:sz w:val="26"/>
          <w:szCs w:val="26"/>
        </w:rPr>
        <w:t>Е.</w:t>
      </w:r>
      <w:r w:rsidRPr="00343262">
        <w:rPr>
          <w:sz w:val="26"/>
          <w:szCs w:val="26"/>
          <w:lang w:val="en-US"/>
        </w:rPr>
        <w:t> </w:t>
      </w:r>
      <w:r w:rsidRPr="00343262">
        <w:rPr>
          <w:sz w:val="26"/>
          <w:szCs w:val="26"/>
        </w:rPr>
        <w:t>Л. </w:t>
      </w:r>
      <w:proofErr w:type="spellStart"/>
      <w:r w:rsidRPr="00343262">
        <w:rPr>
          <w:sz w:val="26"/>
          <w:szCs w:val="26"/>
        </w:rPr>
        <w:t>Гречаникова</w:t>
      </w:r>
      <w:proofErr w:type="spellEnd"/>
    </w:p>
    <w:p w:rsidR="00CF383C" w:rsidRPr="00343262" w:rsidRDefault="00930978" w:rsidP="00930978">
      <w:pPr>
        <w:pStyle w:val="a3"/>
        <w:jc w:val="right"/>
        <w:rPr>
          <w:b w:val="0"/>
          <w:sz w:val="26"/>
          <w:szCs w:val="26"/>
        </w:rPr>
      </w:pPr>
      <w:r w:rsidRPr="00343262">
        <w:rPr>
          <w:b w:val="0"/>
          <w:sz w:val="26"/>
          <w:szCs w:val="26"/>
        </w:rPr>
        <w:t>2 курс (РФ)</w:t>
      </w:r>
    </w:p>
    <w:p w:rsidR="00CF383C" w:rsidRPr="00343262" w:rsidRDefault="00CF383C" w:rsidP="00CF383C">
      <w:pPr>
        <w:pStyle w:val="a3"/>
        <w:jc w:val="both"/>
        <w:rPr>
          <w:b w:val="0"/>
          <w:sz w:val="26"/>
          <w:szCs w:val="26"/>
        </w:rPr>
      </w:pPr>
    </w:p>
    <w:p w:rsidR="00CF383C" w:rsidRPr="00343262" w:rsidRDefault="00207E9A" w:rsidP="00CF383C">
      <w:pPr>
        <w:pStyle w:val="a3"/>
        <w:rPr>
          <w:sz w:val="26"/>
          <w:szCs w:val="26"/>
        </w:rPr>
      </w:pPr>
      <w:r w:rsidRPr="00343262">
        <w:rPr>
          <w:sz w:val="26"/>
          <w:szCs w:val="26"/>
        </w:rPr>
        <w:t>Вопросы к зачёту</w:t>
      </w:r>
    </w:p>
    <w:p w:rsidR="00CF383C" w:rsidRPr="00343262" w:rsidRDefault="00CF383C" w:rsidP="00CF383C">
      <w:pPr>
        <w:pStyle w:val="a3"/>
        <w:rPr>
          <w:sz w:val="26"/>
          <w:szCs w:val="26"/>
        </w:rPr>
      </w:pPr>
      <w:r w:rsidRPr="00343262">
        <w:rPr>
          <w:sz w:val="26"/>
          <w:szCs w:val="26"/>
        </w:rPr>
        <w:t>по курсу «</w:t>
      </w:r>
      <w:r w:rsidR="00B60C02" w:rsidRPr="00343262">
        <w:rPr>
          <w:sz w:val="26"/>
          <w:szCs w:val="26"/>
        </w:rPr>
        <w:t>История зарубежной литературы (рубеж веков –</w:t>
      </w:r>
      <w:r w:rsidR="009F28E2" w:rsidRPr="00343262">
        <w:rPr>
          <w:sz w:val="26"/>
          <w:szCs w:val="26"/>
        </w:rPr>
        <w:t>20</w:t>
      </w:r>
      <w:r w:rsidR="00B60C02" w:rsidRPr="00343262">
        <w:rPr>
          <w:sz w:val="26"/>
          <w:szCs w:val="26"/>
        </w:rPr>
        <w:t> век)</w:t>
      </w:r>
      <w:r w:rsidRPr="00343262">
        <w:rPr>
          <w:sz w:val="26"/>
          <w:szCs w:val="26"/>
        </w:rPr>
        <w:t>»</w:t>
      </w:r>
    </w:p>
    <w:p w:rsidR="00CF383C" w:rsidRPr="00343262" w:rsidRDefault="00CF383C" w:rsidP="0029128A">
      <w:pPr>
        <w:ind w:firstLine="709"/>
        <w:jc w:val="center"/>
        <w:rPr>
          <w:sz w:val="26"/>
          <w:szCs w:val="26"/>
        </w:rPr>
      </w:pPr>
    </w:p>
    <w:p w:rsidR="007252F5" w:rsidRPr="00343262" w:rsidRDefault="007252F5" w:rsidP="007252F5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Общие тенденции, стили и направления</w:t>
      </w:r>
      <w:r w:rsidR="009F28E2" w:rsidRPr="00343262">
        <w:rPr>
          <w:sz w:val="26"/>
          <w:szCs w:val="26"/>
        </w:rPr>
        <w:t xml:space="preserve"> в </w:t>
      </w:r>
      <w:r w:rsidRPr="00343262">
        <w:rPr>
          <w:sz w:val="26"/>
          <w:szCs w:val="26"/>
        </w:rPr>
        <w:t xml:space="preserve">зарубежной литературе рубежа 19–20 веков. </w:t>
      </w:r>
    </w:p>
    <w:p w:rsidR="007252F5" w:rsidRPr="00343262" w:rsidRDefault="007252F5" w:rsidP="007252F5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Понятие «декаданса»: предпосылки возникновения, филосо</w:t>
      </w:r>
      <w:r w:rsidR="0089198C" w:rsidRPr="00343262">
        <w:rPr>
          <w:sz w:val="26"/>
          <w:szCs w:val="26"/>
        </w:rPr>
        <w:t>фская основа, понятие личности.</w:t>
      </w:r>
    </w:p>
    <w:p w:rsidR="007252F5" w:rsidRPr="00343262" w:rsidRDefault="007252F5" w:rsidP="007252F5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Декад</w:t>
      </w:r>
      <w:r w:rsidR="002E2101" w:rsidRPr="00343262">
        <w:rPr>
          <w:sz w:val="26"/>
          <w:szCs w:val="26"/>
        </w:rPr>
        <w:t>ансные художественные явления в </w:t>
      </w:r>
      <w:r w:rsidRPr="00343262">
        <w:rPr>
          <w:sz w:val="26"/>
          <w:szCs w:val="26"/>
        </w:rPr>
        <w:t>поэзии рубежа веков. Французский Парнас, импрессионизм, символизм.</w:t>
      </w:r>
    </w:p>
    <w:p w:rsidR="007252F5" w:rsidRPr="00343262" w:rsidRDefault="007252F5" w:rsidP="007252F5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Особенности драматургии рубежа веков</w:t>
      </w:r>
      <w:r w:rsidR="00F94B54" w:rsidRPr="00343262">
        <w:rPr>
          <w:sz w:val="26"/>
          <w:szCs w:val="26"/>
        </w:rPr>
        <w:t>. (М. </w:t>
      </w:r>
      <w:r w:rsidRPr="00343262">
        <w:rPr>
          <w:sz w:val="26"/>
          <w:szCs w:val="26"/>
        </w:rPr>
        <w:t>Метерлинк</w:t>
      </w:r>
      <w:r w:rsidR="00954FED" w:rsidRPr="00343262">
        <w:rPr>
          <w:sz w:val="26"/>
          <w:szCs w:val="26"/>
        </w:rPr>
        <w:t xml:space="preserve"> как </w:t>
      </w:r>
      <w:r w:rsidRPr="00343262">
        <w:rPr>
          <w:sz w:val="26"/>
          <w:szCs w:val="26"/>
        </w:rPr>
        <w:t>реформатор е</w:t>
      </w:r>
      <w:r w:rsidR="00F94B54" w:rsidRPr="00343262">
        <w:rPr>
          <w:sz w:val="26"/>
          <w:szCs w:val="26"/>
        </w:rPr>
        <w:t>вропейской драмы</w:t>
      </w:r>
      <w:r w:rsidR="00F303CA" w:rsidRPr="00343262">
        <w:rPr>
          <w:sz w:val="26"/>
          <w:szCs w:val="26"/>
        </w:rPr>
        <w:t xml:space="preserve"> («Синяя птица»)</w:t>
      </w:r>
      <w:r w:rsidR="00F94B54" w:rsidRPr="00343262">
        <w:rPr>
          <w:sz w:val="26"/>
          <w:szCs w:val="26"/>
        </w:rPr>
        <w:t>. Творчество Г. </w:t>
      </w:r>
      <w:r w:rsidRPr="00343262">
        <w:rPr>
          <w:sz w:val="26"/>
          <w:szCs w:val="26"/>
        </w:rPr>
        <w:t>Ибсена</w:t>
      </w:r>
      <w:r w:rsidR="00F94B54" w:rsidRPr="00343262">
        <w:rPr>
          <w:sz w:val="26"/>
          <w:szCs w:val="26"/>
        </w:rPr>
        <w:t xml:space="preserve"> и </w:t>
      </w:r>
      <w:r w:rsidRPr="00343262">
        <w:rPr>
          <w:sz w:val="26"/>
          <w:szCs w:val="26"/>
        </w:rPr>
        <w:t>«новая драма»</w:t>
      </w:r>
      <w:r w:rsidR="0089198C" w:rsidRPr="00343262">
        <w:rPr>
          <w:sz w:val="26"/>
          <w:szCs w:val="26"/>
        </w:rPr>
        <w:t xml:space="preserve"> (</w:t>
      </w:r>
      <w:r w:rsidR="0089198C" w:rsidRPr="00343262">
        <w:rPr>
          <w:bCs/>
          <w:iCs/>
          <w:sz w:val="26"/>
          <w:szCs w:val="26"/>
        </w:rPr>
        <w:t>«Кукольный дом» и др.)</w:t>
      </w:r>
      <w:r w:rsidRPr="00343262">
        <w:rPr>
          <w:sz w:val="26"/>
          <w:szCs w:val="26"/>
        </w:rPr>
        <w:t>. Художестве</w:t>
      </w:r>
      <w:r w:rsidR="00F94B54" w:rsidRPr="00343262">
        <w:rPr>
          <w:sz w:val="26"/>
          <w:szCs w:val="26"/>
        </w:rPr>
        <w:t>нное своеобразие драматургии Б. </w:t>
      </w:r>
      <w:r w:rsidRPr="00343262">
        <w:rPr>
          <w:sz w:val="26"/>
          <w:szCs w:val="26"/>
        </w:rPr>
        <w:t>Шоу</w:t>
      </w:r>
      <w:r w:rsidR="0089198C" w:rsidRPr="00343262">
        <w:rPr>
          <w:sz w:val="26"/>
          <w:szCs w:val="26"/>
        </w:rPr>
        <w:t xml:space="preserve"> (</w:t>
      </w:r>
      <w:r w:rsidR="0089198C" w:rsidRPr="00343262">
        <w:rPr>
          <w:bCs/>
          <w:iCs/>
          <w:sz w:val="26"/>
          <w:szCs w:val="26"/>
        </w:rPr>
        <w:t>«Пигмалион» и др.</w:t>
      </w:r>
      <w:r w:rsidR="0089198C" w:rsidRPr="00343262">
        <w:rPr>
          <w:sz w:val="26"/>
          <w:szCs w:val="26"/>
        </w:rPr>
        <w:t>).</w:t>
      </w:r>
    </w:p>
    <w:p w:rsidR="007252F5" w:rsidRPr="00343262" w:rsidRDefault="007252F5" w:rsidP="004221B4">
      <w:pPr>
        <w:numPr>
          <w:ilvl w:val="0"/>
          <w:numId w:val="1"/>
        </w:numPr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Особенности реалистической прозы руб</w:t>
      </w:r>
      <w:r w:rsidR="00F27D32" w:rsidRPr="00343262">
        <w:rPr>
          <w:sz w:val="26"/>
          <w:szCs w:val="26"/>
        </w:rPr>
        <w:t>ежа веков. Французский роман на </w:t>
      </w:r>
      <w:r w:rsidRPr="00343262">
        <w:rPr>
          <w:sz w:val="26"/>
          <w:szCs w:val="26"/>
        </w:rPr>
        <w:t>рубеже веков (Э.</w:t>
      </w:r>
      <w:r w:rsidR="00F27D32" w:rsidRPr="00343262">
        <w:rPr>
          <w:sz w:val="26"/>
          <w:szCs w:val="26"/>
        </w:rPr>
        <w:t> </w:t>
      </w:r>
      <w:r w:rsidRPr="00343262">
        <w:rPr>
          <w:sz w:val="26"/>
          <w:szCs w:val="26"/>
        </w:rPr>
        <w:t>Золя, Г.</w:t>
      </w:r>
      <w:r w:rsidR="00F27D32" w:rsidRPr="00343262">
        <w:rPr>
          <w:sz w:val="26"/>
          <w:szCs w:val="26"/>
        </w:rPr>
        <w:t> Флобер, Ги де </w:t>
      </w:r>
      <w:r w:rsidRPr="00343262">
        <w:rPr>
          <w:sz w:val="26"/>
          <w:szCs w:val="26"/>
        </w:rPr>
        <w:t>Мопассан).</w:t>
      </w:r>
      <w:r w:rsidR="00E957E6" w:rsidRPr="00343262">
        <w:rPr>
          <w:sz w:val="26"/>
          <w:szCs w:val="26"/>
        </w:rPr>
        <w:t xml:space="preserve"> </w:t>
      </w:r>
      <w:r w:rsidRPr="00343262">
        <w:rPr>
          <w:sz w:val="26"/>
          <w:szCs w:val="26"/>
        </w:rPr>
        <w:t>Реалистическа</w:t>
      </w:r>
      <w:r w:rsidR="00137FAF" w:rsidRPr="00343262">
        <w:rPr>
          <w:sz w:val="26"/>
          <w:szCs w:val="26"/>
        </w:rPr>
        <w:t>я пр</w:t>
      </w:r>
      <w:r w:rsidR="00E957E6" w:rsidRPr="00343262">
        <w:rPr>
          <w:sz w:val="26"/>
          <w:szCs w:val="26"/>
        </w:rPr>
        <w:t>оза США на </w:t>
      </w:r>
      <w:r w:rsidR="00137FAF" w:rsidRPr="00343262">
        <w:rPr>
          <w:sz w:val="26"/>
          <w:szCs w:val="26"/>
        </w:rPr>
        <w:t>рубеже веков (М. Твен, Дж. </w:t>
      </w:r>
      <w:r w:rsidRPr="00343262">
        <w:rPr>
          <w:sz w:val="26"/>
          <w:szCs w:val="26"/>
        </w:rPr>
        <w:t>Лондон, Т.</w:t>
      </w:r>
      <w:r w:rsidR="00137FAF" w:rsidRPr="00343262">
        <w:rPr>
          <w:sz w:val="26"/>
          <w:szCs w:val="26"/>
        </w:rPr>
        <w:t> Драйзер, О. </w:t>
      </w:r>
      <w:r w:rsidRPr="00343262">
        <w:rPr>
          <w:sz w:val="26"/>
          <w:szCs w:val="26"/>
        </w:rPr>
        <w:t>Генри).</w:t>
      </w:r>
    </w:p>
    <w:p w:rsidR="007252F5" w:rsidRPr="00343262" w:rsidRDefault="007252F5" w:rsidP="007252F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</w:t>
      </w:r>
      <w:r w:rsidR="00E43672" w:rsidRPr="00343262">
        <w:rPr>
          <w:sz w:val="26"/>
          <w:szCs w:val="26"/>
        </w:rPr>
        <w:t xml:space="preserve">и </w:t>
      </w:r>
      <w:proofErr w:type="spellStart"/>
      <w:r w:rsidR="00E43672" w:rsidRPr="00343262">
        <w:rPr>
          <w:sz w:val="26"/>
          <w:szCs w:val="26"/>
        </w:rPr>
        <w:t>декадансной</w:t>
      </w:r>
      <w:proofErr w:type="spellEnd"/>
      <w:r w:rsidR="00E43672" w:rsidRPr="00343262">
        <w:rPr>
          <w:sz w:val="26"/>
          <w:szCs w:val="26"/>
        </w:rPr>
        <w:t xml:space="preserve"> прозы. </w:t>
      </w:r>
      <w:r w:rsidR="0089198C" w:rsidRPr="00343262">
        <w:rPr>
          <w:sz w:val="26"/>
          <w:szCs w:val="26"/>
        </w:rPr>
        <w:t xml:space="preserve">Роман Ж.-Г. Гюисманса «Наоборот» и его роль в культуре декаданса. </w:t>
      </w:r>
      <w:r w:rsidR="00E43672" w:rsidRPr="00343262">
        <w:rPr>
          <w:sz w:val="26"/>
          <w:szCs w:val="26"/>
        </w:rPr>
        <w:t>Эстетизм и творчество О. </w:t>
      </w:r>
      <w:r w:rsidRPr="00343262">
        <w:rPr>
          <w:sz w:val="26"/>
          <w:szCs w:val="26"/>
        </w:rPr>
        <w:t>Уайльда. Специфика х</w:t>
      </w:r>
      <w:r w:rsidR="00E957E6" w:rsidRPr="00343262">
        <w:rPr>
          <w:sz w:val="26"/>
          <w:szCs w:val="26"/>
        </w:rPr>
        <w:t>удожественного мира в романе О. </w:t>
      </w:r>
      <w:r w:rsidRPr="00343262">
        <w:rPr>
          <w:sz w:val="26"/>
          <w:szCs w:val="26"/>
        </w:rPr>
        <w:t>Уайльда «Портрет Дориана Грея</w:t>
      </w:r>
      <w:r w:rsidR="006235F2" w:rsidRPr="00343262">
        <w:rPr>
          <w:sz w:val="26"/>
          <w:szCs w:val="26"/>
        </w:rPr>
        <w:t>». Роман Р. </w:t>
      </w:r>
      <w:r w:rsidRPr="00343262">
        <w:rPr>
          <w:sz w:val="26"/>
          <w:szCs w:val="26"/>
        </w:rPr>
        <w:t>Музиля «Душевные смуты воспитанника Тёрлеса».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Зарубежная литература 1 половины 20 века: художественные тенденции, стили и направления. Понятие модернизма: предпосылки возникновения, философская основа, эстетика, поэтика.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Понятие авангарда. Авангард и модернизм: сходство и различия. Представители, программные тексты, основные этические и эстетические принципы, особенности поэтики, технические приёмы футуризма, дадаизма, сюрреализма.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Экспрессионизм: представители, программные тексты, основные этические и эстетические принципы, особенности поэтики, технические приёмы. Лирика Готфрида Бенна и др.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Специфика художественного мира прозы Франца Кафки (новелла «Превращение», романы «Процесс» и «Замок» и др.): своеобразие картины мира, приёмы отображения абсурдной реальности.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Школа «потока сознания» как литературно</w:t>
      </w:r>
      <w:r w:rsidRPr="00343262">
        <w:rPr>
          <w:sz w:val="26"/>
          <w:szCs w:val="26"/>
        </w:rPr>
        <w:noBreakHyphen/>
        <w:t>художественный феномен 1 половины 20 века. Роман Джеймса Джойса «Улисс»</w:t>
      </w:r>
      <w:r w:rsidR="00565134" w:rsidRPr="00343262">
        <w:rPr>
          <w:sz w:val="26"/>
          <w:szCs w:val="26"/>
        </w:rPr>
        <w:t>*</w:t>
      </w:r>
      <w:r w:rsidRPr="00343262">
        <w:rPr>
          <w:sz w:val="26"/>
          <w:szCs w:val="26"/>
        </w:rPr>
        <w:t>. В. Вулф «К маяку».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Жанровое своеобразие цикла романов Марселя Пруста «В поисках утраченного времени»: понятия «книги-жизни» и «фразы Пруста». Специфика художественного мира романа «В сторону Свана».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Особенности поэтики немецкого «интеллектуального романа». Роман Томаса Манна «Доктор Фаустус»: композиция, проблемно</w:t>
      </w:r>
      <w:r w:rsidRPr="00343262">
        <w:rPr>
          <w:sz w:val="26"/>
          <w:szCs w:val="26"/>
        </w:rPr>
        <w:noBreakHyphen/>
        <w:t>тематические доминанты, система персонажей.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Творчество Германа Гессе (романы «Степ</w:t>
      </w:r>
      <w:r w:rsidR="002C4A48" w:rsidRPr="00343262">
        <w:rPr>
          <w:sz w:val="26"/>
          <w:szCs w:val="26"/>
        </w:rPr>
        <w:t>ной волк», «Игра в бисер» и др</w:t>
      </w:r>
      <w:r w:rsidRPr="00343262">
        <w:rPr>
          <w:sz w:val="26"/>
          <w:szCs w:val="26"/>
        </w:rPr>
        <w:t>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 xml:space="preserve"> Имажизм как литературно</w:t>
      </w:r>
      <w:r w:rsidRPr="00343262">
        <w:rPr>
          <w:sz w:val="26"/>
          <w:szCs w:val="26"/>
        </w:rPr>
        <w:noBreakHyphen/>
        <w:t>художественное явление. Поэзия Томаса Стернза Элиота. Творчество Эзры Паунда и имажизм.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 xml:space="preserve"> Литература «потерянного поколения». Э. Хемингуэй «И восходит солнце» («Фиеста»), Э. М. Ремарк «На Западном фронте без перемен», Ф. С. Фицджеральд «Великий Гэтсби», Р. Олдингтон «Смерть героя»</w:t>
      </w:r>
      <w:r w:rsidR="00B22F4E" w:rsidRPr="00343262">
        <w:rPr>
          <w:sz w:val="26"/>
          <w:szCs w:val="26"/>
        </w:rPr>
        <w:t xml:space="preserve"> и др</w:t>
      </w:r>
      <w:r w:rsidRPr="00343262">
        <w:rPr>
          <w:sz w:val="26"/>
          <w:szCs w:val="26"/>
        </w:rPr>
        <w:t>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lastRenderedPageBreak/>
        <w:t>Экзистенциализм в философии и литературе: проблематика, основные философские категории (понятие «пограничной ситуации» и т. п.). Экзистенциальная проза Жана-Поля Сартра, Альбера Камю, Айрис Мёрдок и др. – по выбору в качестве примера.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Творчество Жана-Поля Сартра. «Атеистический экзистенциализм» и этапы его эволюции в прозе Ж.</w:t>
      </w:r>
      <w:r w:rsidRPr="00343262">
        <w:rPr>
          <w:sz w:val="26"/>
          <w:szCs w:val="26"/>
        </w:rPr>
        <w:noBreakHyphen/>
        <w:t>П. Сартра. Роман «Тошнота». Философские эссе Ж.</w:t>
      </w:r>
      <w:r w:rsidRPr="00343262">
        <w:rPr>
          <w:sz w:val="26"/>
          <w:szCs w:val="26"/>
        </w:rPr>
        <w:noBreakHyphen/>
        <w:t>П. Сартра («Экзистенциализм – это гуманизм», «Что такое литература?»).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Творчество Альбера Камю: особенности мировоззрения, синтез философии, литературы и мифа. Понятие «бунтующего человека». Повесть «Посторонний», роман «Чума». Философские эссе А. Камю («Миф о Сизифе» и др.).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Специфика художественного мира романа Бориса Виана «Пена дней».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Специфика художественного мира философской сказки Антуана де Сент-Экзюпери «Маленький принц».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Особенности развития американского романа в 1 половине 20 века. Синтез реализма и модернизма в прозе Уильяма Фолкнера (роман «Шум и ярость»).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«Эпический театр» Бертольда Брехта: основные принципы и установки, особенности поэтики. Тема войны в драме «Мамаша Кураж и её дети».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Специфика литературного процесса в Германии и Швейцарии после Второй мировой войны (общая характеристика). Проза А. Зегерс, М. В. Шульца, В. Борхерта, К. Вольф – по выбору.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Военная тематика в романах и повестях Генриха Бёлля («Глазами клоуна», «Бильярд в половине десятого» и др.).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Литература Швейцарии (общая характеристика особенностей литературного процесса). Специфика художественного мира произведений Фридриха Дюрренматта (пьесы «Подельники», «Визит старой дамы», романы «Правосудие» и «Пенсионер», повесть «Авария» – по выбору).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Пародийный характер прозы Гюнтера Грасса, «клоунада» и её социально-эстетические функции («Жестяной барабан»).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Французский «новый роман»: особенности поэтики. Проза Натали Саррот: понятие «тропизмов» («Тропизмы» и др.; программное эссе «Эра подозрения»). Проза Алена Роб-Грийе: понятие «шозизма» («В лабиринте», «Проект революции в Нью-Йорке» и др.; эссе «О некоторых устаревших понятиях» как манифест «нового романа»).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Феномен «театра абсурда»; поэтика «антидрамы». Творчество Эжена Ионеско («Лысая певица»), Сэмюэла Беккета («В ожидании Годо»).</w:t>
      </w:r>
    </w:p>
    <w:p w:rsidR="0029128A" w:rsidRPr="00343262" w:rsidRDefault="00DD6F75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 xml:space="preserve"> </w:t>
      </w:r>
      <w:r w:rsidR="0029128A" w:rsidRPr="00343262">
        <w:rPr>
          <w:sz w:val="26"/>
          <w:szCs w:val="26"/>
        </w:rPr>
        <w:t>«Поэтический театр» Т. Уильямса. Конфликт собственничества и романтического идеализма в пьесе «Трамвай “Желание”».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Имморалистическая литература 20 века: предпосылки, особенности. Романы Б. Виана, Г. Миллера («Тропик Рака»), Ж. Жене, Ж. Сарамаго («Евангелие от Иисуса»), М. Уэльбека («Элементарные частицы»), Ч. Буковски «Женщины» и др. – по выбору.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Специфика развития жанра антиутопии в зарубежной литературе 20 в., жанр романа-предупреждения (Дж. Оруэлл</w:t>
      </w:r>
      <w:r w:rsidR="00C27855" w:rsidRPr="00343262">
        <w:rPr>
          <w:sz w:val="26"/>
          <w:szCs w:val="26"/>
        </w:rPr>
        <w:t xml:space="preserve"> «1984»</w:t>
      </w:r>
      <w:r w:rsidRPr="00343262">
        <w:rPr>
          <w:sz w:val="26"/>
          <w:szCs w:val="26"/>
        </w:rPr>
        <w:t>, О. Хаксли, У. Голдинг</w:t>
      </w:r>
      <w:r w:rsidR="00C27855" w:rsidRPr="00343262">
        <w:rPr>
          <w:sz w:val="26"/>
          <w:szCs w:val="26"/>
        </w:rPr>
        <w:t xml:space="preserve"> «Повелитель мух», Р. Мерль и др.</w:t>
      </w:r>
      <w:r w:rsidRPr="00343262">
        <w:rPr>
          <w:sz w:val="26"/>
          <w:szCs w:val="26"/>
        </w:rPr>
        <w:t>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Японская литература в контексте литературного процесса 20 века: традиции, национальное своеобразие. Специфика концепции красоты в романе Юкио Мисимы «Золотой храм». Экзистенциальные мотивы, метафизический и социальный смысл романа Кобо Абэ «</w:t>
      </w:r>
      <w:r w:rsidR="00C27855" w:rsidRPr="00343262">
        <w:rPr>
          <w:sz w:val="26"/>
          <w:szCs w:val="26"/>
        </w:rPr>
        <w:t>Женщина в </w:t>
      </w:r>
      <w:r w:rsidRPr="00343262">
        <w:rPr>
          <w:sz w:val="26"/>
          <w:szCs w:val="26"/>
        </w:rPr>
        <w:t>песках».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Поэтика романа Энтони Бёрджесса «Заводной апельсин».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Американская «контркультура» 60–70</w:t>
      </w:r>
      <w:r w:rsidRPr="00343262">
        <w:rPr>
          <w:sz w:val="26"/>
          <w:szCs w:val="26"/>
        </w:rPr>
        <w:noBreakHyphen/>
        <w:t xml:space="preserve">х гг. 20 в.: литература «разбитого поколения». Поэма Алена Гинзберга «Вопль» как манифест битничества. Особенности </w:t>
      </w:r>
      <w:r w:rsidRPr="00343262">
        <w:rPr>
          <w:sz w:val="26"/>
          <w:szCs w:val="26"/>
        </w:rPr>
        <w:lastRenderedPageBreak/>
        <w:t>поэтики прозы «битников» (на примере романов У. С. Берроуза «Голый завтрак» и Дж. Керуака «В дороге»).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Творчество Дж. Д. Сэлинджера и К. Кизи в контексте американской «контркультуры» («бит</w:t>
      </w:r>
      <w:r w:rsidRPr="00343262">
        <w:rPr>
          <w:sz w:val="26"/>
          <w:szCs w:val="26"/>
        </w:rPr>
        <w:noBreakHyphen/>
        <w:t>культуры»). Специфика художественного мира романа «Над пропастью во ржи». Роман К. Кизи «Пролетая над гнездом кукушки»: проблематика, особенности поэтики.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Латиноамериканская литература в 20 веке. Понятие «магического реализма» и «необарокко» (на примере творчества Ж. Амаду, Г. Г. Маркеса, Х. Кортасара и др.). Специфика художественного мира в романе Ж. Амаду «Дона Флор и два её мужа». Синтез мифа и реальности в романе Г. Г. Маркеса «Сто лет одиночества».</w:t>
      </w:r>
    </w:p>
    <w:p w:rsidR="00DD6F75" w:rsidRPr="00343262" w:rsidRDefault="00DD6F75" w:rsidP="00DD6F7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Понятие постмодернизма: истоки, философия, эстетика и поэтика (на примере нескольких произведений разных национальных литератур).</w:t>
      </w:r>
    </w:p>
    <w:p w:rsidR="00DD6F75" w:rsidRPr="00343262" w:rsidRDefault="00DD6F75" w:rsidP="00DD6F7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Интертекстуальность, «принцип айсберга», игра с читателем в литературе постмодернизма (на примере романов Дж. Фаулза «Коллекционер», «Женщина французского лейтенанта», П. Зюскинда «Парфюмер»).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Художественная реализация философских и эстетических принципов постмодернизма в творчестве Хорхе Луиса Борхеса («Вавилонская библиотека», «Алеф», «Три версии предательства Иуды»,</w:t>
      </w:r>
      <w:r w:rsidR="000F0636" w:rsidRPr="00343262">
        <w:rPr>
          <w:sz w:val="26"/>
          <w:szCs w:val="26"/>
        </w:rPr>
        <w:t xml:space="preserve"> «Бессмертный»,</w:t>
      </w:r>
      <w:r w:rsidRPr="00343262">
        <w:rPr>
          <w:sz w:val="26"/>
          <w:szCs w:val="26"/>
        </w:rPr>
        <w:t xml:space="preserve"> «Четыре цикла»</w:t>
      </w:r>
      <w:r w:rsidR="00CE1B14" w:rsidRPr="00343262">
        <w:rPr>
          <w:sz w:val="26"/>
          <w:szCs w:val="26"/>
        </w:rPr>
        <w:t xml:space="preserve"> </w:t>
      </w:r>
      <w:r w:rsidRPr="00343262">
        <w:rPr>
          <w:sz w:val="26"/>
          <w:szCs w:val="26"/>
        </w:rPr>
        <w:t>и др.).</w:t>
      </w:r>
    </w:p>
    <w:p w:rsidR="00DD6F75" w:rsidRPr="00343262" w:rsidRDefault="00DD6F75" w:rsidP="00DD6F7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Понятие гипертекста. Проза Милорада Павича: особенности организации текста и интерпретации мифа в романе «Хазарский словарь».</w:t>
      </w:r>
    </w:p>
    <w:p w:rsidR="001A14A2" w:rsidRPr="00343262" w:rsidRDefault="001A14A2" w:rsidP="001A14A2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Роман Дугласа Коупленда «Поколение Икс» и понятие поколения.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Категория игры, коллаж, хэппенинг и их роль в структуре романов Хулио Кортасара (на примере романа «Игра в классики» или «52. Модель для сборки»).</w:t>
      </w:r>
    </w:p>
    <w:p w:rsidR="0029128A" w:rsidRPr="00343262" w:rsidRDefault="0029128A" w:rsidP="0029128A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Современная итальянская литература. Творчество Умберто Эко и особенности поэтики романа «Имя розы». Специфика художественного мира романа Итало Кальвино «Если однажды зимней ночью путник…».</w:t>
      </w:r>
    </w:p>
    <w:p w:rsidR="00DD6F75" w:rsidRPr="00343262" w:rsidRDefault="00DD6F75" w:rsidP="00DD6F7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Особенности постмодернистской драмы: композиция, герои, конфликт (на примере пьесы Тома Стоппарда «Розенкранц и Гильденстерн мертвы»).</w:t>
      </w:r>
    </w:p>
    <w:p w:rsidR="00505A9D" w:rsidRPr="00343262" w:rsidRDefault="00505A9D" w:rsidP="00505A9D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Американский постмодернизм и литература «чёрного юмора» (на примере романов Томаса Пинчона, Чарльза Буковски и др.).</w:t>
      </w:r>
    </w:p>
    <w:p w:rsidR="00C35E81" w:rsidRPr="00343262" w:rsidRDefault="0029128A" w:rsidP="00E8454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43262">
        <w:rPr>
          <w:sz w:val="26"/>
          <w:szCs w:val="26"/>
        </w:rPr>
        <w:t>Массовая литература как феномен 20 века, понятия «кича» («китча») и «поп-арта». Постмодернистская игра с массовой литературой и культурой (Чарльз Буковски «Макулатура»</w:t>
      </w:r>
      <w:r w:rsidR="00FA7F8B" w:rsidRPr="00343262">
        <w:rPr>
          <w:sz w:val="26"/>
          <w:szCs w:val="26"/>
        </w:rPr>
        <w:t xml:space="preserve"> и др.</w:t>
      </w:r>
      <w:r w:rsidRPr="00343262">
        <w:rPr>
          <w:sz w:val="26"/>
          <w:szCs w:val="26"/>
        </w:rPr>
        <w:t>).</w:t>
      </w:r>
      <w:bookmarkEnd w:id="0"/>
    </w:p>
    <w:sectPr w:rsidR="00C35E81" w:rsidRPr="00343262" w:rsidSect="00CF38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47"/>
    <w:rsid w:val="000F0636"/>
    <w:rsid w:val="00100635"/>
    <w:rsid w:val="00137FAF"/>
    <w:rsid w:val="001A14A2"/>
    <w:rsid w:val="00207111"/>
    <w:rsid w:val="00207E9A"/>
    <w:rsid w:val="00211992"/>
    <w:rsid w:val="002879CE"/>
    <w:rsid w:val="0029128A"/>
    <w:rsid w:val="002C4A48"/>
    <w:rsid w:val="002E2101"/>
    <w:rsid w:val="00343262"/>
    <w:rsid w:val="00370EA2"/>
    <w:rsid w:val="003E3AC2"/>
    <w:rsid w:val="004723A6"/>
    <w:rsid w:val="004D00DB"/>
    <w:rsid w:val="004F7B78"/>
    <w:rsid w:val="00505A9D"/>
    <w:rsid w:val="00565134"/>
    <w:rsid w:val="006145B9"/>
    <w:rsid w:val="006235F2"/>
    <w:rsid w:val="00687132"/>
    <w:rsid w:val="0069061B"/>
    <w:rsid w:val="007252F5"/>
    <w:rsid w:val="007C1564"/>
    <w:rsid w:val="007E54C5"/>
    <w:rsid w:val="0082260D"/>
    <w:rsid w:val="008259E2"/>
    <w:rsid w:val="0089198C"/>
    <w:rsid w:val="00906091"/>
    <w:rsid w:val="00930978"/>
    <w:rsid w:val="00954FED"/>
    <w:rsid w:val="009B54AE"/>
    <w:rsid w:val="009D2F01"/>
    <w:rsid w:val="009F28E2"/>
    <w:rsid w:val="00A46F75"/>
    <w:rsid w:val="00B22F4E"/>
    <w:rsid w:val="00B60C02"/>
    <w:rsid w:val="00C25B7B"/>
    <w:rsid w:val="00C27855"/>
    <w:rsid w:val="00C35E81"/>
    <w:rsid w:val="00C42F4D"/>
    <w:rsid w:val="00C71BD7"/>
    <w:rsid w:val="00C766BC"/>
    <w:rsid w:val="00CB16A2"/>
    <w:rsid w:val="00CE1B14"/>
    <w:rsid w:val="00CF383C"/>
    <w:rsid w:val="00DC59E6"/>
    <w:rsid w:val="00DD6F75"/>
    <w:rsid w:val="00E00F16"/>
    <w:rsid w:val="00E20647"/>
    <w:rsid w:val="00E43672"/>
    <w:rsid w:val="00E957E6"/>
    <w:rsid w:val="00EF1D70"/>
    <w:rsid w:val="00F13AE2"/>
    <w:rsid w:val="00F27D32"/>
    <w:rsid w:val="00F303CA"/>
    <w:rsid w:val="00F52E32"/>
    <w:rsid w:val="00F6341A"/>
    <w:rsid w:val="00F94B54"/>
    <w:rsid w:val="00FA7F8B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00C0-56DA-433B-A212-42962B8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83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CF383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E236A-A675-4F6B-8639-0C1055717F38}"/>
</file>

<file path=customXml/itemProps2.xml><?xml version="1.0" encoding="utf-8"?>
<ds:datastoreItem xmlns:ds="http://schemas.openxmlformats.org/officeDocument/2006/customXml" ds:itemID="{B2868D91-86F0-4050-A3BA-1D93C9D9AF9B}"/>
</file>

<file path=customXml/itemProps3.xml><?xml version="1.0" encoding="utf-8"?>
<ds:datastoreItem xmlns:ds="http://schemas.openxmlformats.org/officeDocument/2006/customXml" ds:itemID="{51AF92EF-A6CE-4A99-8837-57EADBB8C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Евгения</cp:lastModifiedBy>
  <cp:revision>68</cp:revision>
  <dcterms:created xsi:type="dcterms:W3CDTF">2022-05-25T19:33:00Z</dcterms:created>
  <dcterms:modified xsi:type="dcterms:W3CDTF">2022-11-13T13:38:00Z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