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21" w:rsidRDefault="007C2921" w:rsidP="007C2921">
      <w:pPr>
        <w:jc w:val="center"/>
        <w:rPr>
          <w:b/>
        </w:rPr>
      </w:pPr>
      <w:r w:rsidRPr="007C2921">
        <w:rPr>
          <w:b/>
        </w:rPr>
        <w:t>Вопросы к зачету по предмету</w:t>
      </w:r>
    </w:p>
    <w:p w:rsidR="007C2921" w:rsidRDefault="007C2921" w:rsidP="007C2921">
      <w:pPr>
        <w:jc w:val="center"/>
        <w:rPr>
          <w:b/>
        </w:rPr>
      </w:pPr>
      <w:r>
        <w:rPr>
          <w:b/>
        </w:rPr>
        <w:t>«Учебный химический эксперимент</w:t>
      </w:r>
      <w:r w:rsidR="0064031C">
        <w:rPr>
          <w:b/>
        </w:rPr>
        <w:t xml:space="preserve"> с основами синтеза</w:t>
      </w:r>
      <w:r>
        <w:rPr>
          <w:b/>
        </w:rPr>
        <w:t>»</w:t>
      </w:r>
    </w:p>
    <w:p w:rsidR="007C2921" w:rsidRDefault="007C2921" w:rsidP="00B00AD7">
      <w:pPr>
        <w:rPr>
          <w:b/>
        </w:rPr>
      </w:pPr>
    </w:p>
    <w:p w:rsidR="007C2921" w:rsidRPr="007C2921" w:rsidRDefault="007C2921" w:rsidP="00B00AD7">
      <w:pPr>
        <w:rPr>
          <w:b/>
        </w:rPr>
      </w:pPr>
    </w:p>
    <w:p w:rsidR="00B00AD7" w:rsidRPr="008178CA" w:rsidRDefault="008178CA" w:rsidP="00B00AD7">
      <w:pPr>
        <w:numPr>
          <w:ilvl w:val="0"/>
          <w:numId w:val="1"/>
        </w:numPr>
        <w:ind w:left="0" w:firstLine="0"/>
      </w:pPr>
      <w:r>
        <w:t>Компоненты и функции химического</w:t>
      </w:r>
      <w:r w:rsidR="00B00AD7" w:rsidRPr="008178CA">
        <w:t xml:space="preserve"> </w:t>
      </w:r>
      <w:r>
        <w:t>э</w:t>
      </w:r>
      <w:r w:rsidR="00B00AD7" w:rsidRPr="008178CA">
        <w:t>ксперимента</w:t>
      </w:r>
      <w:r>
        <w:t>.</w:t>
      </w:r>
    </w:p>
    <w:p w:rsidR="00B00AD7" w:rsidRPr="008178CA" w:rsidRDefault="00B00AD7" w:rsidP="00B00AD7">
      <w:pPr>
        <w:numPr>
          <w:ilvl w:val="0"/>
          <w:numId w:val="1"/>
        </w:numPr>
        <w:ind w:left="0" w:firstLine="0"/>
      </w:pPr>
      <w:r w:rsidRPr="008178CA">
        <w:t>Типы школьного химического эксперимента</w:t>
      </w:r>
      <w:r w:rsidR="008178CA">
        <w:t>.</w:t>
      </w:r>
    </w:p>
    <w:p w:rsidR="00B00AD7" w:rsidRPr="008178CA" w:rsidRDefault="00B00AD7" w:rsidP="00B00AD7">
      <w:pPr>
        <w:numPr>
          <w:ilvl w:val="0"/>
          <w:numId w:val="1"/>
        </w:numPr>
        <w:ind w:left="0" w:firstLine="0"/>
      </w:pPr>
      <w:r w:rsidRPr="008178CA">
        <w:t>Планирование химического эксперимента</w:t>
      </w:r>
      <w:r w:rsidR="008178CA">
        <w:t>.</w:t>
      </w:r>
    </w:p>
    <w:p w:rsidR="00B00AD7" w:rsidRPr="008178CA" w:rsidRDefault="00B00AD7" w:rsidP="00B00AD7">
      <w:pPr>
        <w:numPr>
          <w:ilvl w:val="0"/>
          <w:numId w:val="1"/>
        </w:numPr>
        <w:ind w:left="0" w:firstLine="0"/>
      </w:pPr>
      <w:r w:rsidRPr="008178CA">
        <w:t>Условия овладение экспериментальными умениями и навыками</w:t>
      </w:r>
      <w:r w:rsidR="008178CA">
        <w:t>.</w:t>
      </w:r>
    </w:p>
    <w:p w:rsidR="00B00AD7" w:rsidRPr="008178CA" w:rsidRDefault="00B00AD7" w:rsidP="00B00AD7">
      <w:pPr>
        <w:numPr>
          <w:ilvl w:val="0"/>
          <w:numId w:val="1"/>
        </w:numPr>
        <w:ind w:left="0" w:firstLine="0"/>
      </w:pPr>
      <w:r w:rsidRPr="008178CA">
        <w:rPr>
          <w:szCs w:val="28"/>
        </w:rPr>
        <w:t>Основные требования к школьному кабинету химии</w:t>
      </w:r>
      <w:r w:rsidR="008178CA">
        <w:rPr>
          <w:szCs w:val="28"/>
        </w:rPr>
        <w:t>.</w:t>
      </w:r>
    </w:p>
    <w:p w:rsidR="00B00AD7" w:rsidRPr="008178CA" w:rsidRDefault="00B00AD7" w:rsidP="00B00AD7">
      <w:pPr>
        <w:numPr>
          <w:ilvl w:val="0"/>
          <w:numId w:val="1"/>
        </w:numPr>
        <w:ind w:left="0" w:firstLine="0"/>
      </w:pPr>
      <w:r w:rsidRPr="008178CA">
        <w:rPr>
          <w:szCs w:val="28"/>
        </w:rPr>
        <w:t>Система средств обучения химического кабинета</w:t>
      </w:r>
      <w:r w:rsidR="008178CA">
        <w:rPr>
          <w:szCs w:val="28"/>
        </w:rPr>
        <w:t>.</w:t>
      </w:r>
    </w:p>
    <w:p w:rsidR="00B00AD7" w:rsidRPr="008178CA" w:rsidRDefault="0064031C" w:rsidP="00B00AD7">
      <w:pPr>
        <w:numPr>
          <w:ilvl w:val="0"/>
          <w:numId w:val="1"/>
        </w:numPr>
        <w:ind w:left="0" w:firstLine="0"/>
      </w:pPr>
      <w:r w:rsidRPr="008178CA">
        <w:rPr>
          <w:szCs w:val="28"/>
        </w:rPr>
        <w:t>Охрана труда</w:t>
      </w:r>
      <w:r w:rsidR="00B00AD7" w:rsidRPr="008178CA">
        <w:rPr>
          <w:szCs w:val="28"/>
        </w:rPr>
        <w:t xml:space="preserve"> при работах в кабинете химии</w:t>
      </w:r>
      <w:r w:rsidR="008178CA">
        <w:rPr>
          <w:szCs w:val="28"/>
        </w:rPr>
        <w:t>.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>Деление учебных опытов в зависи</w:t>
      </w:r>
      <w:r w:rsidR="008178CA">
        <w:rPr>
          <w:sz w:val="28"/>
          <w:szCs w:val="28"/>
        </w:rPr>
        <w:t>мости от субъекта их проведения.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 xml:space="preserve"> Цели и задачи экспериментов разных типов, их отличительные признаки, особенности исполнения.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 xml:space="preserve"> Особенности макро- и </w:t>
      </w:r>
      <w:proofErr w:type="spellStart"/>
      <w:r w:rsidRPr="008178CA">
        <w:rPr>
          <w:sz w:val="28"/>
          <w:szCs w:val="28"/>
        </w:rPr>
        <w:t>микроэксперимента</w:t>
      </w:r>
      <w:proofErr w:type="spellEnd"/>
      <w:r w:rsidRPr="008178CA">
        <w:rPr>
          <w:sz w:val="28"/>
          <w:szCs w:val="28"/>
        </w:rPr>
        <w:t>.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 xml:space="preserve"> Оборудование для демонстрационного экс</w:t>
      </w:r>
      <w:r w:rsidR="0064031C" w:rsidRPr="008178CA">
        <w:rPr>
          <w:sz w:val="28"/>
          <w:szCs w:val="28"/>
        </w:rPr>
        <w:t>перимента и лабораторных опытов</w:t>
      </w:r>
      <w:r w:rsidRPr="008178CA">
        <w:rPr>
          <w:sz w:val="28"/>
          <w:szCs w:val="28"/>
        </w:rPr>
        <w:t>.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 xml:space="preserve">Практические работы как средство </w:t>
      </w:r>
      <w:r w:rsidRPr="008178CA">
        <w:rPr>
          <w:color w:val="000000"/>
          <w:sz w:val="28"/>
          <w:szCs w:val="28"/>
        </w:rPr>
        <w:t>осуществления развивающего обучения химии в школе,</w:t>
      </w:r>
      <w:r w:rsidRPr="008178CA">
        <w:rPr>
          <w:sz w:val="28"/>
          <w:szCs w:val="28"/>
        </w:rPr>
        <w:t xml:space="preserve"> развития мышления учащихся. </w:t>
      </w:r>
    </w:p>
    <w:p w:rsidR="00B00AD7" w:rsidRPr="008178CA" w:rsidRDefault="00B00AD7" w:rsidP="007C2921">
      <w:pPr>
        <w:pStyle w:val="2"/>
      </w:pPr>
      <w:r w:rsidRPr="008178CA">
        <w:t xml:space="preserve">Классификация экспериментальных задач, используемых на практических работах. </w:t>
      </w:r>
    </w:p>
    <w:p w:rsidR="00B00AD7" w:rsidRPr="008178CA" w:rsidRDefault="00B00AD7" w:rsidP="007C2921">
      <w:pPr>
        <w:pStyle w:val="2"/>
      </w:pPr>
      <w:r w:rsidRPr="008178CA">
        <w:rPr>
          <w:rStyle w:val="FontStyle161"/>
          <w:rFonts w:ascii="Times New Roman" w:hAnsi="Times New Roman" w:cs="Times New Roman"/>
          <w:sz w:val="28"/>
          <w:szCs w:val="28"/>
        </w:rPr>
        <w:t>Практические занятия исследовательского характера.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>Унификация химического эксперимента.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color w:val="000000"/>
          <w:sz w:val="28"/>
          <w:szCs w:val="28"/>
        </w:rPr>
        <w:t xml:space="preserve">Использование практических работ для </w:t>
      </w:r>
      <w:r w:rsidRPr="008178CA">
        <w:rPr>
          <w:sz w:val="28"/>
          <w:szCs w:val="28"/>
        </w:rPr>
        <w:t xml:space="preserve">учета и контроля знаний, умений и навыков, приобретенных учащимися. 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 xml:space="preserve">Цели и задачи экспериментальной учебно-исследовательской работы учащихся средних школ по химии. 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 xml:space="preserve">Выбор методов и методик проведения учебно-исследовательской работы. </w:t>
      </w:r>
    </w:p>
    <w:p w:rsidR="00B00AD7" w:rsidRPr="008178CA" w:rsidRDefault="00B00AD7" w:rsidP="00B00A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 xml:space="preserve">Химический исследовательский эксперимент, выполняемый учащимися при подготовке к научной конференции, к олимпиаде и т.д. </w:t>
      </w:r>
    </w:p>
    <w:p w:rsidR="008F5A7A" w:rsidRPr="008178CA" w:rsidRDefault="008F5A7A" w:rsidP="008F5A7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178CA">
        <w:rPr>
          <w:sz w:val="28"/>
          <w:szCs w:val="28"/>
        </w:rPr>
        <w:t>Значимость применения химического эксперимента при использовании учителем метода проблемного изложения материала.</w:t>
      </w:r>
    </w:p>
    <w:p w:rsidR="008F5A7A" w:rsidRPr="008178CA" w:rsidRDefault="008F5A7A" w:rsidP="008F5A7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Style w:val="FontStyle54"/>
          <w:sz w:val="28"/>
          <w:szCs w:val="28"/>
        </w:rPr>
      </w:pPr>
      <w:r w:rsidRPr="008178CA">
        <w:rPr>
          <w:rStyle w:val="FontStyle54"/>
          <w:sz w:val="28"/>
          <w:szCs w:val="28"/>
        </w:rPr>
        <w:t>Взаимосвязь между классическими представлениями химии и экологии.</w:t>
      </w:r>
    </w:p>
    <w:p w:rsidR="008F5A7A" w:rsidRPr="008178CA" w:rsidRDefault="008F5A7A" w:rsidP="008F5A7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Style w:val="FontStyle54"/>
          <w:bCs/>
          <w:sz w:val="28"/>
          <w:szCs w:val="28"/>
        </w:rPr>
      </w:pPr>
      <w:r w:rsidRPr="008178CA">
        <w:rPr>
          <w:rStyle w:val="FontStyle54"/>
          <w:sz w:val="28"/>
          <w:szCs w:val="28"/>
        </w:rPr>
        <w:t>«</w:t>
      </w:r>
      <w:proofErr w:type="spellStart"/>
      <w:r w:rsidRPr="008178CA">
        <w:rPr>
          <w:rStyle w:val="FontStyle54"/>
          <w:sz w:val="28"/>
          <w:szCs w:val="28"/>
        </w:rPr>
        <w:t>Экологизация</w:t>
      </w:r>
      <w:proofErr w:type="spellEnd"/>
      <w:r w:rsidRPr="008178CA">
        <w:rPr>
          <w:rStyle w:val="FontStyle54"/>
          <w:sz w:val="28"/>
          <w:szCs w:val="28"/>
        </w:rPr>
        <w:t xml:space="preserve">» современных представлений о химических технологиях. </w:t>
      </w:r>
    </w:p>
    <w:p w:rsidR="008F5A7A" w:rsidRPr="008178CA" w:rsidRDefault="008F5A7A" w:rsidP="008F5A7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Style w:val="FontStyle161"/>
          <w:rFonts w:ascii="Times New Roman" w:hAnsi="Times New Roman" w:cs="Times New Roman"/>
          <w:sz w:val="28"/>
          <w:szCs w:val="28"/>
        </w:rPr>
      </w:pPr>
      <w:r w:rsidRPr="008178CA">
        <w:rPr>
          <w:rStyle w:val="FontStyle129"/>
          <w:rFonts w:ascii="Times New Roman" w:hAnsi="Times New Roman" w:cs="Times New Roman"/>
          <w:b w:val="0"/>
          <w:sz w:val="28"/>
          <w:szCs w:val="28"/>
        </w:rPr>
        <w:t xml:space="preserve">Химический эксперимент экологической направленности. </w:t>
      </w:r>
      <w:r w:rsidRPr="008178CA">
        <w:rPr>
          <w:rStyle w:val="FontStyle14"/>
          <w:sz w:val="28"/>
          <w:szCs w:val="28"/>
        </w:rPr>
        <w:t>Подбор химических экспериментов по направлению «Зеленая химия» с использованием их в образовательном процессе.</w:t>
      </w:r>
      <w:r w:rsidRPr="008178CA">
        <w:rPr>
          <w:sz w:val="28"/>
          <w:szCs w:val="28"/>
        </w:rPr>
        <w:t xml:space="preserve"> </w:t>
      </w:r>
      <w:r w:rsidRPr="008178CA">
        <w:rPr>
          <w:rStyle w:val="FontStyle161"/>
          <w:rFonts w:ascii="Times New Roman" w:hAnsi="Times New Roman" w:cs="Times New Roman"/>
          <w:sz w:val="28"/>
          <w:szCs w:val="28"/>
        </w:rPr>
        <w:t xml:space="preserve">Практические занятия исследовательского характера по направлению «Зеленая химия». </w:t>
      </w:r>
    </w:p>
    <w:p w:rsidR="00FF1E90" w:rsidRPr="008178CA" w:rsidRDefault="00FF1E90" w:rsidP="00F16C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178CA">
        <w:rPr>
          <w:sz w:val="28"/>
          <w:szCs w:val="28"/>
        </w:rPr>
        <w:t>Особенности проведения химических экспериментов при из</w:t>
      </w:r>
      <w:r w:rsidR="0064031C" w:rsidRPr="008178CA">
        <w:rPr>
          <w:sz w:val="28"/>
          <w:szCs w:val="28"/>
        </w:rPr>
        <w:t>учении различных разделов химии</w:t>
      </w:r>
      <w:r w:rsidR="00BD4B73">
        <w:rPr>
          <w:sz w:val="28"/>
          <w:szCs w:val="28"/>
        </w:rPr>
        <w:t>.</w:t>
      </w:r>
    </w:p>
    <w:p w:rsidR="00FF1E90" w:rsidRPr="008178CA" w:rsidRDefault="007C2921" w:rsidP="00F16CF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178CA">
        <w:rPr>
          <w:sz w:val="28"/>
          <w:szCs w:val="28"/>
        </w:rPr>
        <w:lastRenderedPageBreak/>
        <w:t>Формирование профессиональных компетенций студентов при выполнении химического эксперимента.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 Основные термодинамические функции и направление реакций. </w:t>
      </w:r>
    </w:p>
    <w:p w:rsidR="001E5C93" w:rsidRPr="008178CA" w:rsidRDefault="001E5C93" w:rsidP="00F16CFF">
      <w:pPr>
        <w:pStyle w:val="2"/>
        <w:ind w:firstLine="567"/>
      </w:pPr>
      <w:r w:rsidRPr="008178CA">
        <w:t>Учет кинетических и термодинамических факторов в синтезе химических соединений.</w:t>
      </w:r>
    </w:p>
    <w:p w:rsidR="001E5C93" w:rsidRPr="008178CA" w:rsidRDefault="00F16CFF" w:rsidP="00F16CFF">
      <w:pPr>
        <w:pStyle w:val="2"/>
        <w:ind w:firstLine="567"/>
      </w:pPr>
      <w:r w:rsidRPr="008178CA">
        <w:t>Цели,</w:t>
      </w:r>
      <w:r w:rsidR="001E5C93" w:rsidRPr="008178CA">
        <w:t xml:space="preserve"> задачи</w:t>
      </w:r>
      <w:r w:rsidRPr="008178CA">
        <w:t>,</w:t>
      </w:r>
      <w:r w:rsidR="001E5C93" w:rsidRPr="008178CA">
        <w:t xml:space="preserve"> </w:t>
      </w:r>
      <w:r w:rsidR="005A16CF" w:rsidRPr="008178CA">
        <w:t>т</w:t>
      </w:r>
      <w:r w:rsidR="005A16CF" w:rsidRPr="008178CA">
        <w:t xml:space="preserve">енденции и принципы </w:t>
      </w:r>
      <w:r w:rsidR="001E5C93" w:rsidRPr="008178CA">
        <w:t xml:space="preserve">лабораторного и промышленного синтеза. 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Факторы, определяющие технологичность и безопасность процесса синтеза; экономические факторы. 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 Основные подходы к планированию синтеза.</w:t>
      </w:r>
      <w:r w:rsidR="00705F8C" w:rsidRPr="008178CA">
        <w:rPr>
          <w:rFonts w:eastAsia="Calibri"/>
        </w:rPr>
        <w:t xml:space="preserve"> </w:t>
      </w:r>
      <w:r w:rsidR="00705F8C" w:rsidRPr="008178CA">
        <w:rPr>
          <w:rFonts w:eastAsia="Calibri"/>
        </w:rPr>
        <w:t>Схемы планирования синтеза</w:t>
      </w:r>
      <w:r w:rsidR="00D07F4D" w:rsidRPr="008178CA">
        <w:rPr>
          <w:rFonts w:eastAsia="Calibri"/>
        </w:rPr>
        <w:t>.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 </w:t>
      </w:r>
      <w:proofErr w:type="spellStart"/>
      <w:r w:rsidRPr="008178CA">
        <w:t>Синтонный</w:t>
      </w:r>
      <w:proofErr w:type="spellEnd"/>
      <w:r w:rsidRPr="008178CA">
        <w:t xml:space="preserve"> синтез.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Сущность явления катализа и основные понятия каталитической химии: промоторы, каталитические яды, ингибиторы, ферменты. 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Основные типы катализаторов и механизмы каталитических реакций: теория активных центров и активных комплексов. </w:t>
      </w:r>
    </w:p>
    <w:p w:rsidR="001E5C93" w:rsidRPr="008178CA" w:rsidRDefault="001E5C93" w:rsidP="00F16CFF">
      <w:pPr>
        <w:pStyle w:val="2"/>
        <w:ind w:firstLine="567"/>
        <w:rPr>
          <w:rFonts w:eastAsia="Calibri"/>
        </w:rPr>
      </w:pPr>
      <w:r w:rsidRPr="008178CA">
        <w:rPr>
          <w:rFonts w:eastAsia="Calibri"/>
        </w:rPr>
        <w:t xml:space="preserve">Общие принципы и актуальные задачи органического синтеза. Стратегия синтеза. </w:t>
      </w:r>
    </w:p>
    <w:p w:rsidR="001E5C93" w:rsidRPr="008178CA" w:rsidRDefault="001E5C93" w:rsidP="00F16CFF">
      <w:pPr>
        <w:pStyle w:val="2"/>
        <w:ind w:firstLine="567"/>
        <w:rPr>
          <w:rFonts w:eastAsia="Calibri"/>
        </w:rPr>
      </w:pPr>
      <w:r w:rsidRPr="008178CA">
        <w:rPr>
          <w:rFonts w:eastAsia="Calibri"/>
        </w:rPr>
        <w:t>Расчет материального баланса синтеза.</w:t>
      </w:r>
    </w:p>
    <w:p w:rsidR="00D07F4D" w:rsidRPr="008178CA" w:rsidRDefault="00D07F4D" w:rsidP="00F16CFF">
      <w:pPr>
        <w:pStyle w:val="2"/>
        <w:ind w:firstLine="567"/>
        <w:rPr>
          <w:rFonts w:eastAsia="Calibri"/>
        </w:rPr>
      </w:pPr>
      <w:r w:rsidRPr="008178CA">
        <w:t xml:space="preserve">Новейшие технологии получения веществ, использование инноваций и </w:t>
      </w:r>
      <w:proofErr w:type="spellStart"/>
      <w:r w:rsidRPr="008178CA">
        <w:t>нанотехнологий</w:t>
      </w:r>
      <w:proofErr w:type="spellEnd"/>
      <w:r w:rsidRPr="008178CA">
        <w:t xml:space="preserve"> в неорганическом синтезе. </w:t>
      </w:r>
    </w:p>
    <w:p w:rsidR="00D07F4D" w:rsidRPr="008178CA" w:rsidRDefault="00D07F4D" w:rsidP="00F16CFF">
      <w:pPr>
        <w:pStyle w:val="2"/>
        <w:ind w:firstLine="567"/>
        <w:rPr>
          <w:rFonts w:eastAsia="Calibri"/>
        </w:rPr>
      </w:pPr>
      <w:r w:rsidRPr="008178CA">
        <w:t>Промышленное оборудование неорганического синтеза</w:t>
      </w:r>
      <w:r w:rsidR="00BD4B73">
        <w:t>.</w:t>
      </w:r>
      <w:bookmarkStart w:id="0" w:name="_GoBack"/>
      <w:bookmarkEnd w:id="0"/>
    </w:p>
    <w:p w:rsidR="001E5C93" w:rsidRPr="008178CA" w:rsidRDefault="001E5C93" w:rsidP="00F16CFF">
      <w:pPr>
        <w:pStyle w:val="2"/>
        <w:ind w:firstLine="567"/>
      </w:pPr>
      <w:r w:rsidRPr="008178CA">
        <w:t xml:space="preserve"> Термический и каталитический крекинг, пиролиз нефтяного сырья.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Процессы и продукты переработки нефти. 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Выделение углеводородов из нефтяных дистиллятов. 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Разделение жидких углеводородных смесей экстрактивной и азеотропной перегонкой. 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Методы разделения углеводородных смесей. </w:t>
      </w:r>
    </w:p>
    <w:p w:rsidR="001E5C93" w:rsidRPr="008178CA" w:rsidRDefault="001E5C93" w:rsidP="00F16CFF">
      <w:pPr>
        <w:pStyle w:val="2"/>
        <w:ind w:firstLine="567"/>
      </w:pPr>
      <w:r w:rsidRPr="008178CA">
        <w:t>Оборудование для нефтехимического синтеза.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Теоретические основы магнийорганического синтеза. </w:t>
      </w:r>
    </w:p>
    <w:p w:rsidR="001E5C93" w:rsidRPr="008178CA" w:rsidRDefault="001E5C93" w:rsidP="00F16CFF">
      <w:pPr>
        <w:pStyle w:val="2"/>
        <w:ind w:firstLine="567"/>
      </w:pPr>
      <w:r w:rsidRPr="008178CA">
        <w:t xml:space="preserve">Синтез алифатических и ароматических углеводородов, кислород- и азотсодержащих соединений на основе соединений </w:t>
      </w:r>
      <w:proofErr w:type="spellStart"/>
      <w:r w:rsidRPr="008178CA">
        <w:t>Гриньяра</w:t>
      </w:r>
      <w:proofErr w:type="spellEnd"/>
      <w:r w:rsidRPr="008178CA">
        <w:t xml:space="preserve">. </w:t>
      </w:r>
    </w:p>
    <w:p w:rsidR="00A85F4A" w:rsidRPr="008178CA" w:rsidRDefault="00A85F4A" w:rsidP="00B00AD7">
      <w:pPr>
        <w:ind w:firstLine="0"/>
        <w:rPr>
          <w:szCs w:val="28"/>
        </w:rPr>
      </w:pPr>
    </w:p>
    <w:sectPr w:rsidR="00A85F4A" w:rsidRPr="0081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0935"/>
    <w:multiLevelType w:val="hybridMultilevel"/>
    <w:tmpl w:val="BE4ABAE0"/>
    <w:lvl w:ilvl="0" w:tplc="06681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9474D7"/>
    <w:multiLevelType w:val="hybridMultilevel"/>
    <w:tmpl w:val="0D1C676E"/>
    <w:lvl w:ilvl="0" w:tplc="E222D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2F3B61"/>
    <w:multiLevelType w:val="hybridMultilevel"/>
    <w:tmpl w:val="3E440B34"/>
    <w:lvl w:ilvl="0" w:tplc="2BC47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333B4"/>
    <w:multiLevelType w:val="hybridMultilevel"/>
    <w:tmpl w:val="0FF489C0"/>
    <w:lvl w:ilvl="0" w:tplc="6360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B3F04"/>
    <w:multiLevelType w:val="hybridMultilevel"/>
    <w:tmpl w:val="9A4AA7D0"/>
    <w:lvl w:ilvl="0" w:tplc="37C614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D1712"/>
    <w:multiLevelType w:val="hybridMultilevel"/>
    <w:tmpl w:val="029A064C"/>
    <w:lvl w:ilvl="0" w:tplc="BB7AB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5F1E13"/>
    <w:multiLevelType w:val="hybridMultilevel"/>
    <w:tmpl w:val="90DCE536"/>
    <w:lvl w:ilvl="0" w:tplc="E29ADA8C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43A6"/>
    <w:multiLevelType w:val="hybridMultilevel"/>
    <w:tmpl w:val="F57AE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E0"/>
    <w:rsid w:val="001C64C8"/>
    <w:rsid w:val="001E5C93"/>
    <w:rsid w:val="005439E0"/>
    <w:rsid w:val="005A16CF"/>
    <w:rsid w:val="0064031C"/>
    <w:rsid w:val="00705F8C"/>
    <w:rsid w:val="007C2921"/>
    <w:rsid w:val="008178CA"/>
    <w:rsid w:val="008F5A7A"/>
    <w:rsid w:val="00A85F4A"/>
    <w:rsid w:val="00B00AD7"/>
    <w:rsid w:val="00BD4B73"/>
    <w:rsid w:val="00D07F4D"/>
    <w:rsid w:val="00F16CFF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87EC"/>
  <w15:docId w15:val="{A195F68F-3C1D-47F9-9219-B9512DE9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00A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00AD7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B00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00AD7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customStyle="1" w:styleId="2">
    <w:name w:val="Стиль2"/>
    <w:basedOn w:val="a"/>
    <w:autoRedefine/>
    <w:rsid w:val="007C2921"/>
    <w:pPr>
      <w:numPr>
        <w:numId w:val="1"/>
      </w:numPr>
      <w:ind w:left="0" w:firstLine="0"/>
    </w:pPr>
    <w:rPr>
      <w:szCs w:val="28"/>
      <w:lang w:eastAsia="ru-RU"/>
    </w:rPr>
  </w:style>
  <w:style w:type="character" w:customStyle="1" w:styleId="FontStyle161">
    <w:name w:val="Font Style161"/>
    <w:basedOn w:val="a0"/>
    <w:rsid w:val="00B00AD7"/>
    <w:rPr>
      <w:rFonts w:ascii="Bookman Old Style" w:hAnsi="Bookman Old Style" w:cs="Bookman Old Style" w:hint="default"/>
      <w:sz w:val="14"/>
      <w:szCs w:val="14"/>
    </w:rPr>
  </w:style>
  <w:style w:type="character" w:customStyle="1" w:styleId="FontStyle14">
    <w:name w:val="Font Style14"/>
    <w:basedOn w:val="a0"/>
    <w:uiPriority w:val="99"/>
    <w:rsid w:val="008F5A7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8F5A7A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basedOn w:val="a0"/>
    <w:rsid w:val="008F5A7A"/>
    <w:rPr>
      <w:rFonts w:ascii="Franklin Gothic Medium" w:hAnsi="Franklin Gothic Medium" w:cs="Franklin Gothic Medium" w:hint="default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FF1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93636-F0B8-4EC6-AB09-4D1281BB0EC0}"/>
</file>

<file path=customXml/itemProps2.xml><?xml version="1.0" encoding="utf-8"?>
<ds:datastoreItem xmlns:ds="http://schemas.openxmlformats.org/officeDocument/2006/customXml" ds:itemID="{341C3A2A-0540-4C95-847C-CBD1CCBF10F3}"/>
</file>

<file path=customXml/itemProps3.xml><?xml version="1.0" encoding="utf-8"?>
<ds:datastoreItem xmlns:ds="http://schemas.openxmlformats.org/officeDocument/2006/customXml" ds:itemID="{4DC4C24A-EE5E-4BC8-ACF4-B70EDA37B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12</cp:revision>
  <dcterms:created xsi:type="dcterms:W3CDTF">2013-05-03T12:19:00Z</dcterms:created>
  <dcterms:modified xsi:type="dcterms:W3CDTF">2018-01-22T10:23:00Z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