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3F" w:rsidRPr="000F602A" w:rsidRDefault="00CF182F" w:rsidP="00CF182F">
      <w:pPr>
        <w:pStyle w:val="11"/>
        <w:keepNext w:val="0"/>
        <w:pageBreakBefore w:val="0"/>
        <w:suppressAutoHyphens w:val="0"/>
        <w:spacing w:after="0"/>
        <w:outlineLvl w:val="9"/>
        <w:rPr>
          <w:rFonts w:ascii="Verdana" w:hAnsi="Verdana"/>
          <w:kern w:val="26"/>
          <w:sz w:val="26"/>
        </w:rPr>
      </w:pPr>
      <w:bookmarkStart w:id="0" w:name="_Toc230016309"/>
      <w:bookmarkStart w:id="1" w:name="_Toc241211408"/>
      <w:bookmarkStart w:id="2" w:name="_Toc243926755"/>
      <w:r>
        <w:rPr>
          <w:rFonts w:ascii="Verdana" w:hAnsi="Verdana"/>
          <w:kern w:val="26"/>
          <w:sz w:val="26"/>
        </w:rPr>
        <w:t>ЛЕКЦИЯ</w:t>
      </w:r>
      <w:r w:rsidRPr="00CF182F">
        <w:rPr>
          <w:rFonts w:ascii="Verdana" w:hAnsi="Verdana"/>
          <w:kern w:val="26"/>
          <w:sz w:val="26"/>
        </w:rPr>
        <w:t xml:space="preserve"> 5 КРИВОЛИНЕЙНАЯ КОРРЕЛЯЦИЯ И РЕГРЕССИЯ</w:t>
      </w:r>
      <w:bookmarkEnd w:id="0"/>
      <w:bookmarkEnd w:id="1"/>
      <w:bookmarkEnd w:id="2"/>
      <w:r w:rsidR="000F602A" w:rsidRPr="000F602A">
        <w:rPr>
          <w:rFonts w:ascii="Verdana" w:hAnsi="Verdana"/>
          <w:kern w:val="26"/>
          <w:sz w:val="26"/>
        </w:rPr>
        <w:t xml:space="preserve"> [</w:t>
      </w:r>
      <w:r w:rsidR="000F602A">
        <w:rPr>
          <w:rFonts w:ascii="Verdana" w:hAnsi="Verdana"/>
          <w:kern w:val="26"/>
          <w:sz w:val="26"/>
        </w:rPr>
        <w:t>УСР</w:t>
      </w:r>
      <w:r w:rsidR="000F602A" w:rsidRPr="000F602A">
        <w:rPr>
          <w:rFonts w:ascii="Verdana" w:hAnsi="Verdana"/>
          <w:kern w:val="26"/>
          <w:sz w:val="26"/>
        </w:rPr>
        <w:t>]</w:t>
      </w:r>
    </w:p>
    <w:p w:rsidR="00CF182F" w:rsidRDefault="00CF182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1</w:t>
      </w:r>
      <w:r w:rsidR="00CF182F" w:rsidRPr="00CF182F">
        <w:rPr>
          <w:rFonts w:ascii="Verdana" w:hAnsi="Verdana"/>
          <w:i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Корреляционное отношение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2</w:t>
      </w:r>
      <w:r w:rsidR="00CF182F" w:rsidRPr="00CF182F">
        <w:rPr>
          <w:rFonts w:ascii="Verdana" w:hAnsi="Verdana"/>
          <w:i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Свойства корреляционного отношения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3</w:t>
      </w:r>
      <w:r w:rsidR="00CF182F" w:rsidRPr="00CF182F">
        <w:rPr>
          <w:rFonts w:ascii="Verdana" w:hAnsi="Verdana"/>
          <w:i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Ошибка репрезентативности корреляционного отношения</w:t>
      </w:r>
    </w:p>
    <w:p w:rsidR="00C63A3F" w:rsidRPr="00CF182F" w:rsidRDefault="00C63A3F" w:rsidP="00CF182F">
      <w:pPr>
        <w:pStyle w:val="HellyRIR3"/>
        <w:widowControl/>
        <w:numPr>
          <w:ilvl w:val="0"/>
          <w:numId w:val="2"/>
        </w:numPr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Критерий линейности корреляции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F182F" w:rsidP="00CF182F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bookmarkStart w:id="3" w:name="_Toc243926756"/>
      <w:r>
        <w:rPr>
          <w:rFonts w:ascii="Verdana" w:hAnsi="Verdana"/>
          <w:kern w:val="26"/>
          <w:sz w:val="26"/>
          <w:szCs w:val="26"/>
        </w:rPr>
        <w:t xml:space="preserve">1 </w:t>
      </w:r>
      <w:r w:rsidR="00C63A3F" w:rsidRPr="00CF182F">
        <w:rPr>
          <w:rFonts w:ascii="Verdana" w:hAnsi="Verdana"/>
          <w:kern w:val="26"/>
          <w:sz w:val="26"/>
          <w:szCs w:val="26"/>
        </w:rPr>
        <w:t>Корреляционное отношение</w:t>
      </w:r>
      <w:bookmarkEnd w:id="3"/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Если связь между изучаемыми явлениями существенно откл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няется от линейной, что легко установить по графику, то коэфф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циент корреляции непригоден в качестве меры связи. Он может указать на отсутствие сопряженности там, где налицо сильная кр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волинейная зависимость. Поэтому необходим новый показатель, который правильно измерял бы степень криволинейной зависим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сти. Таким показателем является корреляционное отношение, об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значаемое греческой буквой </w:t>
      </w:r>
      <w:r w:rsidRPr="00CF182F">
        <w:rPr>
          <w:rFonts w:ascii="Verdana" w:hAnsi="Verdana"/>
          <w:i/>
          <w:kern w:val="26"/>
          <w:sz w:val="26"/>
          <w:szCs w:val="26"/>
        </w:rPr>
        <w:t>η</w:t>
      </w:r>
      <w:r w:rsidRPr="00CF182F">
        <w:rPr>
          <w:rFonts w:ascii="Verdana" w:hAnsi="Verdana"/>
          <w:kern w:val="26"/>
          <w:sz w:val="26"/>
          <w:szCs w:val="26"/>
        </w:rPr>
        <w:t xml:space="preserve"> (</w:t>
      </w:r>
      <w:r w:rsidRPr="00B43EE5">
        <w:rPr>
          <w:rFonts w:ascii="Verdana" w:hAnsi="Verdana"/>
          <w:i/>
          <w:kern w:val="26"/>
          <w:sz w:val="26"/>
          <w:szCs w:val="26"/>
        </w:rPr>
        <w:t>эта</w:t>
      </w:r>
      <w:r w:rsidRPr="00CF182F">
        <w:rPr>
          <w:rFonts w:ascii="Verdana" w:hAnsi="Verdana"/>
          <w:kern w:val="26"/>
          <w:sz w:val="26"/>
          <w:szCs w:val="26"/>
        </w:rPr>
        <w:t>). Оно измеряет степень корр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ляции при любой ее форме.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Корреляционное отношение при малом числе наблюдений в</w:t>
      </w:r>
      <w:r w:rsidRPr="00CF182F">
        <w:rPr>
          <w:rFonts w:ascii="Verdana" w:hAnsi="Verdana"/>
          <w:kern w:val="26"/>
          <w:sz w:val="26"/>
          <w:szCs w:val="26"/>
        </w:rPr>
        <w:t>ы</w:t>
      </w:r>
      <w:r w:rsidRPr="00CF182F">
        <w:rPr>
          <w:rFonts w:ascii="Verdana" w:hAnsi="Verdana"/>
          <w:kern w:val="26"/>
          <w:sz w:val="26"/>
          <w:szCs w:val="26"/>
        </w:rPr>
        <w:t>числяют по формуле:</w:t>
      </w:r>
    </w:p>
    <w:p w:rsidR="00C63A3F" w:rsidRPr="00CF182F" w:rsidRDefault="00C63A3F" w:rsidP="00CF182F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3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pt;height:43pt" o:ole="">
            <v:imagedata r:id="rId7" o:title=""/>
          </v:shape>
          <o:OLEObject Type="Embed" ProgID="Equation.3" ShapeID="_x0000_i1025" DrawAspect="Content" ObjectID="_1588063437" r:id="rId8"/>
        </w:object>
      </w:r>
    </w:p>
    <w:p w:rsidR="00C63A3F" w:rsidRPr="00CF182F" w:rsidRDefault="00C63A3F" w:rsidP="00B43EE5">
      <w:pPr>
        <w:pStyle w:val="HellyRIR3"/>
        <w:widowControl/>
        <w:ind w:firstLine="0"/>
        <w:rPr>
          <w:rFonts w:ascii="Verdana" w:hAnsi="Verdana"/>
          <w:kern w:val="26"/>
          <w:sz w:val="20"/>
          <w:szCs w:val="20"/>
        </w:rPr>
      </w:pPr>
      <w:proofErr w:type="gramStart"/>
      <w:r w:rsidRPr="00CF182F">
        <w:rPr>
          <w:rFonts w:ascii="Verdana" w:hAnsi="Verdana"/>
          <w:kern w:val="26"/>
          <w:sz w:val="20"/>
          <w:szCs w:val="20"/>
        </w:rPr>
        <w:t>где</w:t>
      </w:r>
      <w:r w:rsidR="00CF182F">
        <w:rPr>
          <w:rFonts w:ascii="Verdana" w:hAnsi="Verdana"/>
          <w:kern w:val="26"/>
          <w:sz w:val="20"/>
          <w:szCs w:val="20"/>
        </w:rPr>
        <w:t xml:space="preserve"> </w:t>
      </w:r>
      <w:r w:rsidR="00B43EE5" w:rsidRPr="00CF182F">
        <w:rPr>
          <w:rFonts w:ascii="Verdana" w:hAnsi="Verdana"/>
          <w:i/>
          <w:kern w:val="26"/>
          <w:position w:val="-14"/>
          <w:sz w:val="20"/>
          <w:szCs w:val="20"/>
        </w:rPr>
        <w:object w:dxaOrig="1200" w:dyaOrig="480">
          <v:shape id="_x0000_i1026" type="#_x0000_t75" style="width:52.35pt;height:20.55pt" o:ole="">
            <v:imagedata r:id="rId9" o:title=""/>
          </v:shape>
          <o:OLEObject Type="Embed" ProgID="Equation.3" ShapeID="_x0000_i1026" DrawAspect="Content" ObjectID="_1588063438" r:id="rId10"/>
        </w:object>
      </w:r>
      <w:r w:rsidRPr="00CF182F">
        <w:rPr>
          <w:rFonts w:ascii="Verdana" w:hAnsi="Verdana"/>
          <w:kern w:val="26"/>
          <w:sz w:val="20"/>
          <w:szCs w:val="20"/>
        </w:rPr>
        <w:t xml:space="preserve"> – сумма квадратов отклонений индивидуальных значений </w:t>
      </w:r>
      <w:r w:rsidRPr="00CF182F">
        <w:rPr>
          <w:rFonts w:ascii="Verdana" w:hAnsi="Verdana"/>
          <w:i/>
          <w:kern w:val="26"/>
          <w:sz w:val="20"/>
          <w:szCs w:val="20"/>
        </w:rPr>
        <w:t>Y</w:t>
      </w:r>
      <w:r w:rsidRPr="00CF182F">
        <w:rPr>
          <w:rFonts w:ascii="Verdana" w:hAnsi="Verdana"/>
          <w:kern w:val="26"/>
          <w:sz w:val="20"/>
          <w:szCs w:val="20"/>
        </w:rPr>
        <w:t xml:space="preserve"> от общей средней арифметической </w:t>
      </w:r>
      <w:r w:rsidRPr="00CF182F">
        <w:rPr>
          <w:rFonts w:ascii="Verdana" w:hAnsi="Verdana"/>
          <w:i/>
          <w:kern w:val="26"/>
          <w:sz w:val="20"/>
          <w:szCs w:val="20"/>
        </w:rPr>
        <w:t>μY</w:t>
      </w:r>
      <w:r w:rsidRPr="00CF182F">
        <w:rPr>
          <w:rFonts w:ascii="Verdana" w:hAnsi="Verdana"/>
          <w:kern w:val="26"/>
          <w:sz w:val="20"/>
          <w:szCs w:val="20"/>
        </w:rPr>
        <w:t>;</w:t>
      </w:r>
      <w:r w:rsidR="00CF182F">
        <w:rPr>
          <w:rFonts w:ascii="Verdana" w:hAnsi="Verdana"/>
          <w:kern w:val="26"/>
          <w:sz w:val="20"/>
          <w:szCs w:val="20"/>
        </w:rPr>
        <w:t xml:space="preserve"> </w:t>
      </w:r>
      <w:r w:rsidR="00FF212A" w:rsidRPr="00FF212A">
        <w:rPr>
          <w:rFonts w:ascii="Verdana" w:hAnsi="Verdana"/>
          <w:kern w:val="26"/>
          <w:position w:val="-14"/>
          <w:sz w:val="20"/>
          <w:szCs w:val="20"/>
        </w:rPr>
        <w:object w:dxaOrig="1359" w:dyaOrig="480">
          <v:shape id="_x0000_i1027" type="#_x0000_t75" style="width:61.7pt;height:21.5pt" o:ole="">
            <v:imagedata r:id="rId11" o:title=""/>
          </v:shape>
          <o:OLEObject Type="Embed" ProgID="Equation.3" ShapeID="_x0000_i1027" DrawAspect="Content" ObjectID="_1588063439" r:id="rId12"/>
        </w:object>
      </w:r>
      <w:r w:rsidRPr="00CF182F">
        <w:rPr>
          <w:rFonts w:ascii="Verdana" w:hAnsi="Verdana"/>
          <w:kern w:val="26"/>
          <w:sz w:val="20"/>
          <w:szCs w:val="20"/>
        </w:rPr>
        <w:t xml:space="preserve"> – сумма квадратов отклонений вариант от групповых средних </w:t>
      </w:r>
      <w:r w:rsidRPr="00CF182F">
        <w:rPr>
          <w:rFonts w:ascii="Verdana" w:hAnsi="Verdana"/>
          <w:kern w:val="26"/>
          <w:sz w:val="20"/>
          <w:szCs w:val="20"/>
        </w:rPr>
        <w:object w:dxaOrig="420" w:dyaOrig="340">
          <v:shape id="_x0000_i1028" type="#_x0000_t75" style="width:20.55pt;height:16.85pt" o:ole="">
            <v:imagedata r:id="rId13" o:title=""/>
          </v:shape>
          <o:OLEObject Type="Embed" ProgID="Equation.3" ShapeID="_x0000_i1028" DrawAspect="Content" ObjectID="_1588063440" r:id="rId14"/>
        </w:object>
      </w:r>
      <w:r w:rsidRPr="00CF182F">
        <w:rPr>
          <w:rFonts w:ascii="Verdana" w:hAnsi="Verdana"/>
          <w:kern w:val="26"/>
          <w:sz w:val="20"/>
          <w:szCs w:val="20"/>
        </w:rPr>
        <w:t xml:space="preserve">, соответствующих определенным, фиксированным значениям независимой переменной </w:t>
      </w:r>
      <w:r w:rsidRPr="00CF182F">
        <w:rPr>
          <w:rFonts w:ascii="Verdana" w:hAnsi="Verdana"/>
          <w:i/>
          <w:kern w:val="26"/>
          <w:sz w:val="20"/>
          <w:szCs w:val="20"/>
        </w:rPr>
        <w:t>X</w:t>
      </w:r>
      <w:r w:rsidRPr="00CF182F">
        <w:rPr>
          <w:rFonts w:ascii="Verdana" w:hAnsi="Verdana"/>
          <w:kern w:val="26"/>
          <w:sz w:val="20"/>
          <w:szCs w:val="20"/>
        </w:rPr>
        <w:t>.</w:t>
      </w:r>
      <w:proofErr w:type="gramEnd"/>
    </w:p>
    <w:p w:rsidR="00CF182F" w:rsidRDefault="00CF182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bookmarkStart w:id="4" w:name="_GoBack"/>
      <w:bookmarkEnd w:id="4"/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Для вычисления корреляционного отношения значения нез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висимого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 располагают по ранжиру в возрастающем п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рядке и разбивают весь ряд наблюдений на 4–7 групп с таким ра</w:t>
      </w:r>
      <w:r w:rsidRPr="00CF182F">
        <w:rPr>
          <w:rFonts w:ascii="Verdana" w:hAnsi="Verdana"/>
          <w:kern w:val="26"/>
          <w:sz w:val="26"/>
          <w:szCs w:val="26"/>
        </w:rPr>
        <w:t>с</w:t>
      </w:r>
      <w:r w:rsidRPr="00CF182F">
        <w:rPr>
          <w:rFonts w:ascii="Verdana" w:hAnsi="Verdana"/>
          <w:kern w:val="26"/>
          <w:sz w:val="26"/>
          <w:szCs w:val="26"/>
        </w:rPr>
        <w:t xml:space="preserve">четом, чтобы в каждой группе по ряду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 было не менее двух 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блюдений. Затем определяют общую среднюю </w:t>
      </w:r>
      <w:r w:rsidRPr="00CF182F">
        <w:rPr>
          <w:rFonts w:ascii="Verdana" w:hAnsi="Verdana"/>
          <w:i/>
          <w:kern w:val="26"/>
          <w:sz w:val="26"/>
          <w:szCs w:val="26"/>
        </w:rPr>
        <w:t>μY</w:t>
      </w:r>
      <w:r w:rsidRPr="00CF182F">
        <w:rPr>
          <w:rFonts w:ascii="Verdana" w:hAnsi="Verdana"/>
          <w:kern w:val="26"/>
          <w:sz w:val="26"/>
          <w:szCs w:val="26"/>
        </w:rPr>
        <w:t>, групповые сре</w:t>
      </w:r>
      <w:r w:rsidRPr="00CF182F">
        <w:rPr>
          <w:rFonts w:ascii="Verdana" w:hAnsi="Verdana"/>
          <w:kern w:val="26"/>
          <w:sz w:val="26"/>
          <w:szCs w:val="26"/>
        </w:rPr>
        <w:t>д</w:t>
      </w:r>
      <w:r w:rsidRPr="00CF182F">
        <w:rPr>
          <w:rFonts w:ascii="Verdana" w:hAnsi="Verdana"/>
          <w:kern w:val="26"/>
          <w:sz w:val="26"/>
          <w:szCs w:val="26"/>
        </w:rPr>
        <w:t xml:space="preserve">ние </w:t>
      </w:r>
      <w:r w:rsidRPr="00CF182F">
        <w:rPr>
          <w:rFonts w:ascii="Verdana" w:hAnsi="Verdana"/>
          <w:kern w:val="26"/>
          <w:sz w:val="26"/>
          <w:szCs w:val="26"/>
        </w:rPr>
        <w:object w:dxaOrig="440" w:dyaOrig="360">
          <v:shape id="_x0000_i1029" type="#_x0000_t75" style="width:22.45pt;height:17.75pt" o:ole="">
            <v:imagedata r:id="rId15" o:title=""/>
          </v:shape>
          <o:OLEObject Type="Embed" ProgID="Equation.3" ShapeID="_x0000_i1029" DrawAspect="Content" ObjectID="_1588063441" r:id="rId16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, соответствующие каждой фиксированной группе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, и су</w:t>
      </w:r>
      <w:r w:rsidRPr="00CF182F">
        <w:rPr>
          <w:rFonts w:ascii="Verdana" w:hAnsi="Verdana"/>
          <w:kern w:val="26"/>
          <w:sz w:val="26"/>
          <w:szCs w:val="26"/>
        </w:rPr>
        <w:t>м</w:t>
      </w:r>
      <w:r w:rsidRPr="00CF182F">
        <w:rPr>
          <w:rFonts w:ascii="Verdana" w:hAnsi="Verdana"/>
          <w:kern w:val="26"/>
          <w:sz w:val="26"/>
          <w:szCs w:val="26"/>
        </w:rPr>
        <w:t xml:space="preserve">мы квадратов отклонений для общего </w:t>
      </w:r>
      <w:r w:rsidRPr="00CF182F">
        <w:rPr>
          <w:rFonts w:ascii="Verdana" w:hAnsi="Verdana"/>
          <w:kern w:val="26"/>
          <w:sz w:val="26"/>
          <w:szCs w:val="26"/>
        </w:rPr>
        <w:object w:dxaOrig="1260" w:dyaOrig="400">
          <v:shape id="_x0000_i1030" type="#_x0000_t75" style="width:72.95pt;height:23.4pt" o:ole="">
            <v:imagedata r:id="rId17" o:title=""/>
          </v:shape>
          <o:OLEObject Type="Embed" ProgID="Equation.3" ShapeID="_x0000_i1030" DrawAspect="Content" ObjectID="_1588063442" r:id="rId18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и группового </w:t>
      </w:r>
      <w:r w:rsidRPr="00CF182F">
        <w:rPr>
          <w:rFonts w:ascii="Verdana" w:hAnsi="Verdana"/>
          <w:kern w:val="26"/>
          <w:sz w:val="26"/>
          <w:szCs w:val="26"/>
        </w:rPr>
        <w:object w:dxaOrig="1380" w:dyaOrig="400">
          <v:shape id="_x0000_i1031" type="#_x0000_t75" style="width:77.6pt;height:22.45pt" o:ole="">
            <v:imagedata r:id="rId19" o:title=""/>
          </v:shape>
          <o:OLEObject Type="Embed" ProgID="Equation.3" ShapeID="_x0000_i1031" DrawAspect="Content" ObjectID="_1588063443" r:id="rId20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варьирования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При большом объеме наблюдений (</w:t>
      </w:r>
      <w:r w:rsidRPr="00CF182F">
        <w:rPr>
          <w:rFonts w:ascii="Verdana" w:hAnsi="Verdana"/>
          <w:i/>
          <w:kern w:val="26"/>
          <w:sz w:val="26"/>
          <w:szCs w:val="26"/>
        </w:rPr>
        <w:t>n</w:t>
      </w:r>
      <w:r w:rsidRPr="00CF182F">
        <w:rPr>
          <w:rFonts w:ascii="Verdana" w:hAnsi="Verdana"/>
          <w:kern w:val="26"/>
          <w:sz w:val="26"/>
          <w:szCs w:val="26"/>
        </w:rPr>
        <w:t xml:space="preserve">&gt;30) определяется сумма квадратов отклонений группового варьирования </w:t>
      </w:r>
      <w:r w:rsidRPr="00CF182F">
        <w:rPr>
          <w:rFonts w:ascii="Verdana" w:hAnsi="Verdana"/>
          <w:kern w:val="26"/>
          <w:sz w:val="26"/>
          <w:szCs w:val="26"/>
        </w:rPr>
        <w:object w:dxaOrig="1480" w:dyaOrig="400">
          <v:shape id="_x0000_i1032" type="#_x0000_t75" style="width:84.15pt;height:22.45pt" o:ole="">
            <v:imagedata r:id="rId21" o:title=""/>
          </v:shape>
          <o:OLEObject Type="Embed" ProgID="Equation.3" ShapeID="_x0000_i1032" DrawAspect="Content" ObjectID="_1588063444" r:id="rId22"/>
        </w:object>
      </w:r>
      <w:r w:rsidRPr="00CF182F">
        <w:rPr>
          <w:rFonts w:ascii="Verdana" w:hAnsi="Verdana"/>
          <w:kern w:val="26"/>
          <w:sz w:val="26"/>
          <w:szCs w:val="26"/>
        </w:rPr>
        <w:t>, су</w:t>
      </w:r>
      <w:r w:rsidRPr="00CF182F">
        <w:rPr>
          <w:rFonts w:ascii="Verdana" w:hAnsi="Verdana"/>
          <w:kern w:val="26"/>
          <w:sz w:val="26"/>
          <w:szCs w:val="26"/>
        </w:rPr>
        <w:t>м</w:t>
      </w:r>
      <w:r w:rsidRPr="00CF182F">
        <w:rPr>
          <w:rFonts w:ascii="Verdana" w:hAnsi="Verdana"/>
          <w:kern w:val="26"/>
          <w:sz w:val="26"/>
          <w:szCs w:val="26"/>
        </w:rPr>
        <w:t xml:space="preserve">ма квадратов отклонений общего варьирования </w:t>
      </w:r>
      <w:r w:rsidRPr="00CF182F">
        <w:rPr>
          <w:rFonts w:ascii="Verdana" w:hAnsi="Verdana"/>
          <w:kern w:val="26"/>
          <w:sz w:val="26"/>
          <w:szCs w:val="26"/>
        </w:rPr>
        <w:object w:dxaOrig="1240" w:dyaOrig="400">
          <v:shape id="_x0000_i1033" type="#_x0000_t75" style="width:1in;height:23.4pt" o:ole="">
            <v:imagedata r:id="rId23" o:title=""/>
          </v:shape>
          <o:OLEObject Type="Embed" ProgID="Equation.3" ShapeID="_x0000_i1033" DrawAspect="Content" ObjectID="_1588063445" r:id="rId24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и в</w:t>
      </w:r>
      <w:r w:rsidRPr="00CF182F">
        <w:rPr>
          <w:rFonts w:ascii="Verdana" w:hAnsi="Verdana"/>
          <w:kern w:val="26"/>
          <w:sz w:val="26"/>
          <w:szCs w:val="26"/>
        </w:rPr>
        <w:t>ы</w:t>
      </w:r>
      <w:r w:rsidRPr="00CF182F">
        <w:rPr>
          <w:rFonts w:ascii="Verdana" w:hAnsi="Verdana"/>
          <w:kern w:val="26"/>
          <w:sz w:val="26"/>
          <w:szCs w:val="26"/>
        </w:rPr>
        <w:t>числяется корреляционное отношение по формуле:</w:t>
      </w:r>
    </w:p>
    <w:p w:rsidR="00CF182F" w:rsidRDefault="00C63A3F" w:rsidP="00CF182F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260" w:dyaOrig="820">
          <v:shape id="_x0000_i1034" type="#_x0000_t75" style="width:122.5pt;height:43.95pt" o:ole="">
            <v:imagedata r:id="rId25" o:title=""/>
          </v:shape>
          <o:OLEObject Type="Embed" ProgID="Equation.3" ShapeID="_x0000_i1034" DrawAspect="Content" ObjectID="_1588063446" r:id="rId26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proofErr w:type="gramStart"/>
      <w:r w:rsidRPr="00CF182F">
        <w:rPr>
          <w:rFonts w:ascii="Verdana" w:hAnsi="Verdana"/>
          <w:kern w:val="26"/>
          <w:sz w:val="26"/>
          <w:szCs w:val="26"/>
        </w:rPr>
        <w:t xml:space="preserve">Сумма квадратов отклонений групповых средних </w:t>
      </w:r>
      <w:r w:rsidRPr="00CF182F">
        <w:rPr>
          <w:rFonts w:ascii="Verdana" w:hAnsi="Verdana"/>
          <w:kern w:val="26"/>
          <w:sz w:val="26"/>
          <w:szCs w:val="26"/>
        </w:rPr>
        <w:object w:dxaOrig="440" w:dyaOrig="360">
          <v:shape id="_x0000_i1035" type="#_x0000_t75" style="width:22.45pt;height:17.75pt" o:ole="">
            <v:imagedata r:id="rId15" o:title=""/>
          </v:shape>
          <o:OLEObject Type="Embed" ProgID="Equation.3" ShapeID="_x0000_i1035" DrawAspect="Content" ObjectID="_1588063447" r:id="rId27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от общей средней </w:t>
      </w:r>
      <w:r w:rsidRPr="00CF182F">
        <w:rPr>
          <w:rFonts w:ascii="Verdana" w:hAnsi="Verdana"/>
          <w:i/>
          <w:kern w:val="26"/>
          <w:sz w:val="26"/>
          <w:szCs w:val="26"/>
        </w:rPr>
        <w:t>μY</w:t>
      </w:r>
      <w:r w:rsidRPr="00CF182F">
        <w:rPr>
          <w:rFonts w:ascii="Verdana" w:hAnsi="Verdana"/>
          <w:kern w:val="26"/>
          <w:sz w:val="26"/>
          <w:szCs w:val="26"/>
        </w:rPr>
        <w:t xml:space="preserve"> (групповое варьирование) характеризует ту часть варьирования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>, которая связана с изменчивостью пр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 xml:space="preserve">знака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.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Сумма квадратов разностей между каждой величиной и общей средней </w:t>
      </w:r>
      <w:r w:rsidRPr="00CF182F">
        <w:rPr>
          <w:rFonts w:ascii="Verdana" w:hAnsi="Verdana"/>
          <w:i/>
          <w:kern w:val="26"/>
          <w:sz w:val="26"/>
          <w:szCs w:val="26"/>
        </w:rPr>
        <w:t>μY</w:t>
      </w:r>
      <w:r w:rsidRPr="00CF182F">
        <w:rPr>
          <w:rFonts w:ascii="Verdana" w:hAnsi="Verdana"/>
          <w:kern w:val="26"/>
          <w:sz w:val="26"/>
          <w:szCs w:val="26"/>
        </w:rPr>
        <w:t xml:space="preserve">, т. е. </w:t>
      </w:r>
      <w:r w:rsidRPr="00CF182F">
        <w:rPr>
          <w:rFonts w:ascii="Verdana" w:hAnsi="Verdana"/>
          <w:kern w:val="26"/>
          <w:sz w:val="26"/>
          <w:szCs w:val="26"/>
        </w:rPr>
        <w:object w:dxaOrig="1240" w:dyaOrig="400">
          <v:shape id="_x0000_i1036" type="#_x0000_t75" style="width:70.15pt;height:22.45pt" o:ole="">
            <v:imagedata r:id="rId23" o:title=""/>
          </v:shape>
          <o:OLEObject Type="Embed" ProgID="Equation.3" ShapeID="_x0000_i1036" DrawAspect="Content" ObjectID="_1588063448" r:id="rId28"/>
        </w:object>
      </w:r>
      <w:r w:rsidRPr="00CF182F">
        <w:rPr>
          <w:rFonts w:ascii="Verdana" w:hAnsi="Verdana"/>
          <w:kern w:val="26"/>
          <w:sz w:val="26"/>
          <w:szCs w:val="26"/>
        </w:rPr>
        <w:t>, характеризует общее варьир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вание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При функциональной зависимости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от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 корреляционное о</w:t>
      </w:r>
      <w:r w:rsidRPr="00CF182F">
        <w:rPr>
          <w:rFonts w:ascii="Verdana" w:hAnsi="Verdana"/>
          <w:kern w:val="26"/>
          <w:sz w:val="26"/>
          <w:szCs w:val="26"/>
        </w:rPr>
        <w:t>т</w:t>
      </w:r>
      <w:r w:rsidRPr="00CF182F">
        <w:rPr>
          <w:rFonts w:ascii="Verdana" w:hAnsi="Verdana"/>
          <w:kern w:val="26"/>
          <w:sz w:val="26"/>
          <w:szCs w:val="26"/>
        </w:rPr>
        <w:t>ношение равно единице; если оно равно нулю, то показывает н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 xml:space="preserve">коррелированность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от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; при промежуточном характере коррел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 xml:space="preserve">ционной зависимости корреляционное отношение заключено в пределах: 0 &lt; </w:t>
      </w:r>
      <w:r w:rsidRPr="00CF182F">
        <w:rPr>
          <w:rFonts w:ascii="Verdana" w:hAnsi="Verdana"/>
          <w:i/>
          <w:kern w:val="26"/>
          <w:sz w:val="26"/>
          <w:szCs w:val="26"/>
        </w:rPr>
        <w:t>η</w:t>
      </w:r>
      <w:r w:rsidRPr="00A640A7">
        <w:rPr>
          <w:rFonts w:ascii="Verdana" w:hAnsi="Verdana"/>
          <w:i/>
          <w:kern w:val="26"/>
          <w:sz w:val="26"/>
          <w:szCs w:val="26"/>
          <w:vertAlign w:val="subscript"/>
        </w:rPr>
        <w:t>yx</w:t>
      </w:r>
      <w:r w:rsidRPr="00CF182F">
        <w:rPr>
          <w:rFonts w:ascii="Verdana" w:hAnsi="Verdana"/>
          <w:kern w:val="26"/>
          <w:sz w:val="26"/>
          <w:szCs w:val="26"/>
        </w:rPr>
        <w:t xml:space="preserve"> &lt; 1.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Чем ближе к единице, тем сильнее функциональная завис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 xml:space="preserve">мость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от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, и, наоборот, чем ближе </w:t>
      </w:r>
      <w:r w:rsidRPr="00CF182F">
        <w:rPr>
          <w:rFonts w:ascii="Verdana" w:hAnsi="Verdana"/>
          <w:i/>
          <w:kern w:val="26"/>
          <w:sz w:val="26"/>
          <w:szCs w:val="26"/>
        </w:rPr>
        <w:t>η</w:t>
      </w:r>
      <w:r w:rsidRPr="00A640A7">
        <w:rPr>
          <w:rFonts w:ascii="Verdana" w:hAnsi="Verdana"/>
          <w:i/>
          <w:kern w:val="26"/>
          <w:sz w:val="26"/>
          <w:szCs w:val="26"/>
          <w:vertAlign w:val="subscript"/>
        </w:rPr>
        <w:t>yx</w:t>
      </w:r>
      <w:r w:rsidRPr="00CF182F">
        <w:rPr>
          <w:rFonts w:ascii="Verdana" w:hAnsi="Verdana"/>
          <w:kern w:val="26"/>
          <w:sz w:val="26"/>
          <w:szCs w:val="26"/>
        </w:rPr>
        <w:t xml:space="preserve"> к нулю, тем слабее выр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жена эта зависимость.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Отношение сумм квадратов группового варьирования к общ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му,</w:t>
      </w:r>
      <w:r w:rsidR="00CF182F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kern w:val="26"/>
          <w:sz w:val="26"/>
          <w:szCs w:val="26"/>
        </w:rPr>
        <w:t xml:space="preserve">т.е. </w:t>
      </w:r>
      <w:r w:rsidRPr="00CF182F">
        <w:rPr>
          <w:rFonts w:ascii="Verdana" w:hAnsi="Verdana"/>
          <w:kern w:val="26"/>
          <w:sz w:val="26"/>
          <w:szCs w:val="26"/>
        </w:rPr>
        <w:object w:dxaOrig="340" w:dyaOrig="400">
          <v:shape id="_x0000_i1037" type="#_x0000_t75" style="width:16.85pt;height:19.65pt" o:ole="">
            <v:imagedata r:id="rId29" o:title=""/>
          </v:shape>
          <o:OLEObject Type="Embed" ProgID="Equation.3" ShapeID="_x0000_i1037" DrawAspect="Content" ObjectID="_1588063449" r:id="rId30"/>
        </w:object>
      </w:r>
      <w:r w:rsidRPr="00CF182F">
        <w:rPr>
          <w:rFonts w:ascii="Verdana" w:hAnsi="Verdana"/>
          <w:kern w:val="26"/>
          <w:sz w:val="26"/>
          <w:szCs w:val="26"/>
        </w:rPr>
        <w:t>, имеет самостоятельное значение. Оно показывает ту долю варьирования признака</w:t>
      </w:r>
      <w:r w:rsidRPr="00CF182F">
        <w:rPr>
          <w:rFonts w:ascii="Verdana" w:hAnsi="Verdana"/>
          <w:i/>
          <w:kern w:val="26"/>
          <w:sz w:val="26"/>
          <w:szCs w:val="26"/>
        </w:rPr>
        <w:t xml:space="preserve"> Y</w:t>
      </w:r>
      <w:r w:rsidRPr="00CF182F">
        <w:rPr>
          <w:rFonts w:ascii="Verdana" w:hAnsi="Verdana"/>
          <w:kern w:val="26"/>
          <w:sz w:val="26"/>
          <w:szCs w:val="26"/>
        </w:rPr>
        <w:t>, которая обусловлена степенью в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риаций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. Эта величина, называемая коэффициентом д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 xml:space="preserve">терминации, определяет долю вариации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под влиянием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Корреляционное отношение измеряет степень криволинейных и прямолинейных связей.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b/>
          <w:kern w:val="26"/>
          <w:sz w:val="26"/>
          <w:szCs w:val="26"/>
        </w:rPr>
        <w:t>Криволинейная связь между признаками</w:t>
      </w:r>
      <w:r w:rsidRPr="00CF182F">
        <w:rPr>
          <w:rFonts w:ascii="Verdana" w:hAnsi="Verdana"/>
          <w:kern w:val="26"/>
          <w:sz w:val="26"/>
          <w:szCs w:val="26"/>
        </w:rPr>
        <w:t xml:space="preserve"> – это такая связь, при которой </w:t>
      </w:r>
      <w:r w:rsidRPr="00CF182F">
        <w:rPr>
          <w:rFonts w:ascii="Verdana" w:hAnsi="Verdana"/>
          <w:kern w:val="26"/>
          <w:sz w:val="26"/>
          <w:szCs w:val="26"/>
          <w:u w:val="single"/>
        </w:rPr>
        <w:t>равномерным изменениям первого признака</w:t>
      </w:r>
      <w:r w:rsidRPr="00CF182F">
        <w:rPr>
          <w:rFonts w:ascii="Verdana" w:hAnsi="Verdana"/>
          <w:kern w:val="26"/>
          <w:sz w:val="26"/>
          <w:szCs w:val="26"/>
        </w:rPr>
        <w:t xml:space="preserve"> с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ответствуют </w:t>
      </w:r>
      <w:r w:rsidRPr="00CF182F">
        <w:rPr>
          <w:rFonts w:ascii="Verdana" w:hAnsi="Verdana"/>
          <w:kern w:val="26"/>
          <w:sz w:val="26"/>
          <w:szCs w:val="26"/>
          <w:u w:val="single"/>
        </w:rPr>
        <w:t>неравномерные изменения второго</w:t>
      </w:r>
      <w:r w:rsidRPr="00CF182F">
        <w:rPr>
          <w:rFonts w:ascii="Verdana" w:hAnsi="Verdana"/>
          <w:kern w:val="26"/>
          <w:sz w:val="26"/>
          <w:szCs w:val="26"/>
        </w:rPr>
        <w:t>, причем эта нера</w:t>
      </w:r>
      <w:r w:rsidRPr="00CF182F">
        <w:rPr>
          <w:rFonts w:ascii="Verdana" w:hAnsi="Verdana"/>
          <w:kern w:val="26"/>
          <w:sz w:val="26"/>
          <w:szCs w:val="26"/>
        </w:rPr>
        <w:t>в</w:t>
      </w:r>
      <w:r w:rsidRPr="00CF182F">
        <w:rPr>
          <w:rFonts w:ascii="Verdana" w:hAnsi="Verdana"/>
          <w:kern w:val="26"/>
          <w:sz w:val="26"/>
          <w:szCs w:val="26"/>
        </w:rPr>
        <w:t>номерность имеет определенный закономерный характер.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При графическом изображении криволинейных связей, когда по оси абсцисс откладывают значения первого признака, а по оси ординат – значения второго признака и полученные точки соед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няют, получают изогнутые линии. Характер изогнутости зависит от природы коррелируемых признаков.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По виду линии на графике можно определить характер связи (прямолинейная или криволинейная).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Степень статистической зависимости одного признака от др</w:t>
      </w:r>
      <w:r w:rsidRPr="00CF182F">
        <w:rPr>
          <w:rFonts w:ascii="Verdana" w:hAnsi="Verdana"/>
          <w:kern w:val="26"/>
          <w:sz w:val="26"/>
          <w:szCs w:val="26"/>
        </w:rPr>
        <w:t>у</w:t>
      </w:r>
      <w:r w:rsidRPr="00CF182F">
        <w:rPr>
          <w:rFonts w:ascii="Verdana" w:hAnsi="Verdana"/>
          <w:kern w:val="26"/>
          <w:sz w:val="26"/>
          <w:szCs w:val="26"/>
        </w:rPr>
        <w:t>гого можно определить, сопоставляя разнообразие этих признаков.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тех случаях, когда первый признак принимает разные зн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чения, а второй признак остается неизменным, можно заключить, что разнообразие второго признака не зависит от разнообразия первого и связь между ними равна нулю.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Если при значительном разнообразии первого признака вт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рой имеет незначительное разнообразие, можно заключить, что </w:t>
      </w:r>
      <w:r w:rsidRPr="00CF182F">
        <w:rPr>
          <w:rFonts w:ascii="Verdana" w:hAnsi="Verdana"/>
          <w:kern w:val="26"/>
          <w:sz w:val="26"/>
          <w:szCs w:val="26"/>
        </w:rPr>
        <w:lastRenderedPageBreak/>
        <w:t>статистическая связь между разнообразием обоих признаков им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ется, но она небольшая.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тех случаях, когда при изменениях первого признака второй признак изменяется часто и значительно, можно сделать вывод о большой связи изменений обоих признаков.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Поэтому для получения показателя криволинейной связи можно определить численно степень разнообразия второго призн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ка при определенном разнообразии первого. Делается это при п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мощи ряда частных средних, рассчитанных для второго признака при разных значениях первого. Обозначаются частные средние второго признака по первому символом </w:t>
      </w:r>
      <w:r w:rsidRPr="00CF182F">
        <w:rPr>
          <w:rFonts w:ascii="Verdana" w:hAnsi="Verdana"/>
          <w:i/>
          <w:kern w:val="26"/>
          <w:sz w:val="26"/>
          <w:szCs w:val="26"/>
        </w:rPr>
        <w:t>μ2-1</w:t>
      </w:r>
      <w:r w:rsidRPr="00CF182F">
        <w:rPr>
          <w:rFonts w:ascii="Verdana" w:hAnsi="Verdana"/>
          <w:kern w:val="26"/>
          <w:sz w:val="26"/>
          <w:szCs w:val="26"/>
        </w:rPr>
        <w:t xml:space="preserve">. Получение </w:t>
      </w:r>
      <w:proofErr w:type="gramStart"/>
      <w:r w:rsidRPr="00CF182F">
        <w:rPr>
          <w:rFonts w:ascii="Verdana" w:hAnsi="Verdana"/>
          <w:kern w:val="26"/>
          <w:sz w:val="26"/>
          <w:szCs w:val="26"/>
        </w:rPr>
        <w:t>таких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средних можно показать на следующем простом </w:t>
      </w:r>
      <w:r w:rsidRPr="00CF182F">
        <w:rPr>
          <w:rFonts w:ascii="Verdana" w:hAnsi="Verdana"/>
          <w:b/>
          <w:kern w:val="26"/>
          <w:sz w:val="26"/>
          <w:szCs w:val="26"/>
          <w:u w:val="single"/>
        </w:rPr>
        <w:t>примере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F182F" w:rsidRDefault="00CF182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Имеется группа из 6 особей, у каждой особи измерено два признака (первый и второй). В результате получены следующие два ряда значений: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X1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X2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14</w:t>
      </w:r>
      <w:r w:rsidRPr="00CF182F">
        <w:rPr>
          <w:rFonts w:ascii="Verdana" w:hAnsi="Verdana"/>
          <w:kern w:val="26"/>
          <w:sz w:val="22"/>
          <w:szCs w:val="22"/>
        </w:rPr>
        <w:tab/>
        <w:t>18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12.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Как видно, особи по первому признаку могут быть разбиты на группы с одинаковым значением этого первого признака (4, 6 и 8). В каждой такой гру</w:t>
      </w:r>
      <w:r w:rsidRPr="00CF182F">
        <w:rPr>
          <w:rFonts w:ascii="Verdana" w:hAnsi="Verdana"/>
          <w:kern w:val="26"/>
          <w:sz w:val="22"/>
          <w:szCs w:val="22"/>
        </w:rPr>
        <w:t>п</w:t>
      </w:r>
      <w:r w:rsidRPr="00CF182F">
        <w:rPr>
          <w:rFonts w:ascii="Verdana" w:hAnsi="Verdana"/>
          <w:kern w:val="26"/>
          <w:sz w:val="22"/>
          <w:szCs w:val="22"/>
        </w:rPr>
        <w:t>пе будет по 2 особи.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У первых двух особей первый признак имеет одинаковое значение, вт</w:t>
      </w:r>
      <w:r w:rsidRPr="00CF182F">
        <w:rPr>
          <w:rFonts w:ascii="Verdana" w:hAnsi="Verdana"/>
          <w:kern w:val="26"/>
          <w:sz w:val="22"/>
          <w:szCs w:val="22"/>
        </w:rPr>
        <w:t>о</w:t>
      </w:r>
      <w:r w:rsidRPr="00CF182F">
        <w:rPr>
          <w:rFonts w:ascii="Verdana" w:hAnsi="Verdana"/>
          <w:kern w:val="26"/>
          <w:sz w:val="22"/>
          <w:szCs w:val="22"/>
        </w:rPr>
        <w:t>рой признак у них неодинаков: у одной особи он равен 8, у другой: 4.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 xml:space="preserve">Если взять </w:t>
      </w:r>
      <w:proofErr w:type="gramStart"/>
      <w:r w:rsidRPr="00CF182F">
        <w:rPr>
          <w:rFonts w:ascii="Verdana" w:hAnsi="Verdana"/>
          <w:kern w:val="26"/>
          <w:sz w:val="22"/>
          <w:szCs w:val="22"/>
        </w:rPr>
        <w:t>среднюю</w:t>
      </w:r>
      <w:proofErr w:type="gramEnd"/>
      <w:r w:rsidRPr="00CF182F">
        <w:rPr>
          <w:rFonts w:ascii="Verdana" w:hAnsi="Verdana"/>
          <w:kern w:val="26"/>
          <w:sz w:val="22"/>
          <w:szCs w:val="22"/>
        </w:rPr>
        <w:t xml:space="preserve"> из этих значений, то это и будет частная средняя второго признака при определенном значении первого: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object w:dxaOrig="1560" w:dyaOrig="620">
          <v:shape id="_x0000_i1038" type="#_x0000_t75" style="width:82.3pt;height:32.75pt" o:ole="">
            <v:imagedata r:id="rId31" o:title=""/>
          </v:shape>
          <o:OLEObject Type="Embed" ProgID="Equation.3" ShapeID="_x0000_i1038" DrawAspect="Content" ObjectID="_1588063450" r:id="rId32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 xml:space="preserve">Вторые две особи с одинаковым значением первого признака (6) имеют неодинаковый второй признак (14 и 18). В этом случае </w:t>
      </w:r>
      <w:proofErr w:type="gramStart"/>
      <w:r w:rsidRPr="00CF182F">
        <w:rPr>
          <w:rFonts w:ascii="Verdana" w:hAnsi="Verdana"/>
          <w:kern w:val="26"/>
          <w:sz w:val="22"/>
          <w:szCs w:val="22"/>
        </w:rPr>
        <w:t>частная</w:t>
      </w:r>
      <w:proofErr w:type="gramEnd"/>
      <w:r w:rsidRPr="00CF182F">
        <w:rPr>
          <w:rFonts w:ascii="Verdana" w:hAnsi="Verdana"/>
          <w:kern w:val="26"/>
          <w:sz w:val="22"/>
          <w:szCs w:val="22"/>
        </w:rPr>
        <w:t xml:space="preserve"> средняя: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object w:dxaOrig="1840" w:dyaOrig="620">
          <v:shape id="_x0000_i1039" type="#_x0000_t75" style="width:98.2pt;height:32.75pt" o:ole="">
            <v:imagedata r:id="rId33" o:title=""/>
          </v:shape>
          <o:OLEObject Type="Embed" ProgID="Equation.3" ShapeID="_x0000_i1039" DrawAspect="Content" ObjectID="_1588063451" r:id="rId34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И, наконец, две особи третьей группы имеют одинаковое значение перв</w:t>
      </w:r>
      <w:r w:rsidRPr="00CF182F">
        <w:rPr>
          <w:rFonts w:ascii="Verdana" w:hAnsi="Verdana"/>
          <w:kern w:val="26"/>
          <w:sz w:val="22"/>
          <w:szCs w:val="22"/>
        </w:rPr>
        <w:t>о</w:t>
      </w:r>
      <w:r w:rsidRPr="00CF182F">
        <w:rPr>
          <w:rFonts w:ascii="Verdana" w:hAnsi="Verdana"/>
          <w:kern w:val="26"/>
          <w:sz w:val="22"/>
          <w:szCs w:val="22"/>
        </w:rPr>
        <w:t>го признака – 8, второй признак у одной особи равен 4, а у другой: 12. В да</w:t>
      </w:r>
      <w:r w:rsidRPr="00CF182F">
        <w:rPr>
          <w:rFonts w:ascii="Verdana" w:hAnsi="Verdana"/>
          <w:kern w:val="26"/>
          <w:sz w:val="22"/>
          <w:szCs w:val="22"/>
        </w:rPr>
        <w:t>н</w:t>
      </w:r>
      <w:r w:rsidRPr="00CF182F">
        <w:rPr>
          <w:rFonts w:ascii="Verdana" w:hAnsi="Verdana"/>
          <w:kern w:val="26"/>
          <w:sz w:val="22"/>
          <w:szCs w:val="22"/>
        </w:rPr>
        <w:t xml:space="preserve">ном случае </w:t>
      </w:r>
      <w:proofErr w:type="gramStart"/>
      <w:r w:rsidRPr="00CF182F">
        <w:rPr>
          <w:rFonts w:ascii="Verdana" w:hAnsi="Verdana"/>
          <w:kern w:val="26"/>
          <w:sz w:val="22"/>
          <w:szCs w:val="22"/>
        </w:rPr>
        <w:t>частная</w:t>
      </w:r>
      <w:proofErr w:type="gramEnd"/>
      <w:r w:rsidRPr="00CF182F">
        <w:rPr>
          <w:rFonts w:ascii="Verdana" w:hAnsi="Verdana"/>
          <w:kern w:val="26"/>
          <w:sz w:val="22"/>
          <w:szCs w:val="22"/>
        </w:rPr>
        <w:t xml:space="preserve"> средняя второго признака по первому: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object w:dxaOrig="1640" w:dyaOrig="620">
          <v:shape id="_x0000_i1040" type="#_x0000_t75" style="width:86.95pt;height:32.75pt" o:ole="">
            <v:imagedata r:id="rId35" o:title=""/>
          </v:shape>
          <o:OLEObject Type="Embed" ProgID="Equation.3" ShapeID="_x0000_i1040" DrawAspect="Content" ObjectID="_1588063452" r:id="rId36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Теперь к имеющимся двумя рядам можно приписать третий</w:t>
      </w:r>
      <w:r w:rsidR="00B93778">
        <w:rPr>
          <w:rFonts w:ascii="Verdana" w:hAnsi="Verdana"/>
          <w:kern w:val="26"/>
          <w:sz w:val="22"/>
          <w:szCs w:val="22"/>
        </w:rPr>
        <w:t xml:space="preserve"> </w:t>
      </w:r>
      <w:r w:rsidRPr="00CF182F">
        <w:rPr>
          <w:rFonts w:ascii="Verdana" w:hAnsi="Verdana"/>
          <w:kern w:val="26"/>
          <w:sz w:val="22"/>
          <w:szCs w:val="22"/>
        </w:rPr>
        <w:t>ряд – ряд ч</w:t>
      </w:r>
      <w:r w:rsidRPr="00CF182F">
        <w:rPr>
          <w:rFonts w:ascii="Verdana" w:hAnsi="Verdana"/>
          <w:kern w:val="26"/>
          <w:sz w:val="22"/>
          <w:szCs w:val="22"/>
        </w:rPr>
        <w:t>а</w:t>
      </w:r>
      <w:r w:rsidRPr="00CF182F">
        <w:rPr>
          <w:rFonts w:ascii="Verdana" w:hAnsi="Verdana"/>
          <w:kern w:val="26"/>
          <w:sz w:val="22"/>
          <w:szCs w:val="22"/>
        </w:rPr>
        <w:t>стных средних второго признака по первому: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1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2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14</w:t>
      </w:r>
      <w:r w:rsidRPr="00CF182F">
        <w:rPr>
          <w:rFonts w:ascii="Verdana" w:hAnsi="Verdana"/>
          <w:kern w:val="26"/>
          <w:sz w:val="22"/>
          <w:szCs w:val="22"/>
        </w:rPr>
        <w:tab/>
        <w:t>18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12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μ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2-1</w:t>
      </w:r>
      <w:r w:rsidR="00B93778">
        <w:rPr>
          <w:rFonts w:ascii="Verdana" w:hAnsi="Verdana"/>
          <w:i/>
          <w:kern w:val="26"/>
          <w:sz w:val="22"/>
          <w:szCs w:val="22"/>
          <w:vertAlign w:val="subscript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16</w:t>
      </w:r>
      <w:r w:rsidRPr="00CF182F">
        <w:rPr>
          <w:rFonts w:ascii="Verdana" w:hAnsi="Verdana"/>
          <w:kern w:val="26"/>
          <w:sz w:val="22"/>
          <w:szCs w:val="22"/>
        </w:rPr>
        <w:tab/>
        <w:t>16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8.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Простое сопоставление полученного ряда частных средних второго пр</w:t>
      </w:r>
      <w:r w:rsidRPr="00CF182F">
        <w:rPr>
          <w:rFonts w:ascii="Verdana" w:hAnsi="Verdana"/>
          <w:kern w:val="26"/>
          <w:sz w:val="22"/>
          <w:szCs w:val="22"/>
        </w:rPr>
        <w:t>и</w:t>
      </w:r>
      <w:r w:rsidRPr="00CF182F">
        <w:rPr>
          <w:rFonts w:ascii="Verdana" w:hAnsi="Verdana"/>
          <w:kern w:val="26"/>
          <w:sz w:val="22"/>
          <w:szCs w:val="22"/>
        </w:rPr>
        <w:t>знака с рядом первого признака показывает, что второй признак не остается неизмененным при изменениях первого.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При изменении первого признака на одну и ту же величину (2) второй признак сначала резко увеличивается с 6 до 16, а потом столь же резко умен</w:t>
      </w:r>
      <w:r w:rsidRPr="00CF182F">
        <w:rPr>
          <w:rFonts w:ascii="Verdana" w:hAnsi="Verdana"/>
          <w:kern w:val="26"/>
          <w:sz w:val="22"/>
          <w:szCs w:val="22"/>
        </w:rPr>
        <w:t>ь</w:t>
      </w:r>
      <w:r w:rsidRPr="00CF182F">
        <w:rPr>
          <w:rFonts w:ascii="Verdana" w:hAnsi="Verdana"/>
          <w:kern w:val="26"/>
          <w:sz w:val="22"/>
          <w:szCs w:val="22"/>
        </w:rPr>
        <w:t>шается с 16 до 8. При не очень большом разнообразии первого признака (от 4 до 8) разнообразие второго, судя по разнообразию частных средних, получ</w:t>
      </w:r>
      <w:r w:rsidRPr="00CF182F">
        <w:rPr>
          <w:rFonts w:ascii="Verdana" w:hAnsi="Verdana"/>
          <w:kern w:val="26"/>
          <w:sz w:val="22"/>
          <w:szCs w:val="22"/>
        </w:rPr>
        <w:t>и</w:t>
      </w:r>
      <w:r w:rsidRPr="00CF182F">
        <w:rPr>
          <w:rFonts w:ascii="Verdana" w:hAnsi="Verdana"/>
          <w:kern w:val="26"/>
          <w:sz w:val="22"/>
          <w:szCs w:val="22"/>
        </w:rPr>
        <w:t>лось довольно значительным: от 6 до 16, что, конечно, указывает на большую связь второго признака с первым, или на большую зависимость второго пр</w:t>
      </w:r>
      <w:r w:rsidRPr="00CF182F">
        <w:rPr>
          <w:rFonts w:ascii="Verdana" w:hAnsi="Verdana"/>
          <w:kern w:val="26"/>
          <w:sz w:val="22"/>
          <w:szCs w:val="22"/>
        </w:rPr>
        <w:t>и</w:t>
      </w:r>
      <w:r w:rsidRPr="00CF182F">
        <w:rPr>
          <w:rFonts w:ascii="Verdana" w:hAnsi="Verdana"/>
          <w:kern w:val="26"/>
          <w:sz w:val="22"/>
          <w:szCs w:val="22"/>
        </w:rPr>
        <w:t>знака от первого.</w:t>
      </w:r>
    </w:p>
    <w:p w:rsidR="00B43EE5" w:rsidRPr="00FF212A" w:rsidRDefault="00B43EE5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Степень разнообразия частных средних можно выразить не только лимитами, но и более точным показателем – суммой квадр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тов центральных отклонений, или дисперсией. Для получения ди</w:t>
      </w:r>
      <w:r w:rsidRPr="00CF182F">
        <w:rPr>
          <w:rFonts w:ascii="Verdana" w:hAnsi="Verdana"/>
          <w:kern w:val="26"/>
          <w:sz w:val="26"/>
          <w:szCs w:val="26"/>
        </w:rPr>
        <w:t>с</w:t>
      </w:r>
      <w:r w:rsidRPr="00CF182F">
        <w:rPr>
          <w:rFonts w:ascii="Verdana" w:hAnsi="Verdana"/>
          <w:kern w:val="26"/>
          <w:sz w:val="26"/>
          <w:szCs w:val="26"/>
        </w:rPr>
        <w:t>персии надо рассчитать общую среднюю для всех частных средних второго признака μ</w:t>
      </w:r>
      <w:r w:rsidRPr="00B43EE5">
        <w:rPr>
          <w:rFonts w:ascii="Verdana" w:hAnsi="Verdana"/>
          <w:kern w:val="26"/>
          <w:sz w:val="26"/>
          <w:szCs w:val="26"/>
          <w:vertAlign w:val="subscript"/>
        </w:rPr>
        <w:t>2</w:t>
      </w:r>
      <w:r w:rsidRPr="00CF182F">
        <w:rPr>
          <w:rFonts w:ascii="Verdana" w:hAnsi="Verdana"/>
          <w:kern w:val="26"/>
          <w:sz w:val="26"/>
          <w:szCs w:val="26"/>
        </w:rPr>
        <w:t>, затем для каждой из них определить це</w:t>
      </w:r>
      <w:r w:rsidRPr="00CF182F">
        <w:rPr>
          <w:rFonts w:ascii="Verdana" w:hAnsi="Verdana"/>
          <w:kern w:val="26"/>
          <w:sz w:val="26"/>
          <w:szCs w:val="26"/>
        </w:rPr>
        <w:t>н</w:t>
      </w:r>
      <w:r w:rsidRPr="00CF182F">
        <w:rPr>
          <w:rFonts w:ascii="Verdana" w:hAnsi="Verdana"/>
          <w:kern w:val="26"/>
          <w:sz w:val="26"/>
          <w:szCs w:val="26"/>
        </w:rPr>
        <w:t xml:space="preserve">тральное отклонение </w:t>
      </w:r>
      <w:r w:rsidRPr="00CF182F">
        <w:rPr>
          <w:rFonts w:ascii="Verdana" w:hAnsi="Verdana"/>
          <w:i/>
          <w:kern w:val="26"/>
          <w:sz w:val="26"/>
          <w:szCs w:val="26"/>
        </w:rPr>
        <w:t>D</w:t>
      </w:r>
      <w:r w:rsidRPr="00B43EE5">
        <w:rPr>
          <w:rFonts w:ascii="Verdana" w:hAnsi="Verdana"/>
          <w:i/>
          <w:kern w:val="26"/>
          <w:sz w:val="26"/>
          <w:szCs w:val="26"/>
          <w:vertAlign w:val="subscript"/>
        </w:rPr>
        <w:t>2-1</w:t>
      </w:r>
      <w:r w:rsidRPr="00CF182F">
        <w:rPr>
          <w:rFonts w:ascii="Verdana" w:hAnsi="Verdana"/>
          <w:i/>
          <w:kern w:val="26"/>
          <w:sz w:val="26"/>
          <w:szCs w:val="26"/>
        </w:rPr>
        <w:t xml:space="preserve"> = μ</w:t>
      </w:r>
      <w:r w:rsidRPr="00B43EE5">
        <w:rPr>
          <w:rFonts w:ascii="Verdana" w:hAnsi="Verdana"/>
          <w:i/>
          <w:kern w:val="26"/>
          <w:sz w:val="26"/>
          <w:szCs w:val="26"/>
          <w:vertAlign w:val="subscript"/>
        </w:rPr>
        <w:t>2-1</w:t>
      </w:r>
      <w:r w:rsidRPr="00CF182F">
        <w:rPr>
          <w:rFonts w:ascii="Verdana" w:hAnsi="Verdana"/>
          <w:i/>
          <w:kern w:val="26"/>
          <w:sz w:val="26"/>
          <w:szCs w:val="26"/>
        </w:rPr>
        <w:t xml:space="preserve"> – μ</w:t>
      </w:r>
      <w:r w:rsidRPr="00B43EE5">
        <w:rPr>
          <w:rFonts w:ascii="Verdana" w:hAnsi="Verdana"/>
          <w:i/>
          <w:kern w:val="26"/>
          <w:sz w:val="26"/>
          <w:szCs w:val="26"/>
          <w:vertAlign w:val="subscript"/>
        </w:rPr>
        <w:t>2</w:t>
      </w:r>
      <w:r w:rsidRPr="00CF182F">
        <w:rPr>
          <w:rFonts w:ascii="Verdana" w:hAnsi="Verdana"/>
          <w:kern w:val="26"/>
          <w:sz w:val="26"/>
          <w:szCs w:val="26"/>
        </w:rPr>
        <w:t>, полученные величины возве</w:t>
      </w:r>
      <w:r w:rsidRPr="00CF182F">
        <w:rPr>
          <w:rFonts w:ascii="Verdana" w:hAnsi="Verdana"/>
          <w:kern w:val="26"/>
          <w:sz w:val="26"/>
          <w:szCs w:val="26"/>
        </w:rPr>
        <w:t>с</w:t>
      </w:r>
      <w:r w:rsidRPr="00CF182F">
        <w:rPr>
          <w:rFonts w:ascii="Verdana" w:hAnsi="Verdana"/>
          <w:kern w:val="26"/>
          <w:sz w:val="26"/>
          <w:szCs w:val="26"/>
        </w:rPr>
        <w:t>ти в квадрат и результат сложить: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340" w:dyaOrig="440">
          <v:shape id="_x0000_i1041" type="#_x0000_t75" style="width:2in;height:26.2pt" o:ole="">
            <v:imagedata r:id="rId37" o:title=""/>
          </v:shape>
          <o:OLEObject Type="Embed" ProgID="Equation.3" ShapeID="_x0000_i1041" DrawAspect="Content" ObjectID="_1588063453" r:id="rId38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разбираемом примере этот расчет показан в последних н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скольких строках таблицы 1.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Сумма центральных отклонений для ряда частных средних второго признака по первому </w:t>
      </w:r>
      <w:r w:rsidRPr="00CF182F">
        <w:rPr>
          <w:rFonts w:ascii="Verdana" w:hAnsi="Verdana"/>
          <w:kern w:val="26"/>
          <w:sz w:val="26"/>
          <w:szCs w:val="26"/>
        </w:rPr>
        <w:object w:dxaOrig="760" w:dyaOrig="400">
          <v:shape id="_x0000_i1042" type="#_x0000_t75" style="width:42.1pt;height:22.45pt" o:ole="">
            <v:imagedata r:id="rId39" o:title=""/>
          </v:shape>
          <o:OLEObject Type="Embed" ProgID="Equation.3" ShapeID="_x0000_i1042" DrawAspect="Content" ObjectID="_1588063454" r:id="rId40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= 112. Это – величина имен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ванная и поэтому имеет значение только для небольшой группы, которая доступна изучению.</w:t>
      </w:r>
    </w:p>
    <w:p w:rsidR="008E6323" w:rsidRDefault="008E6323" w:rsidP="00CF182F">
      <w:pPr>
        <w:pStyle w:val="NameofTableRIR"/>
        <w:keepNext w:val="0"/>
        <w:widowControl/>
        <w:spacing w:before="0" w:beforeAutospacing="0" w:after="0" w:afterAutospacing="0"/>
        <w:ind w:firstLine="709"/>
        <w:rPr>
          <w:rFonts w:ascii="Verdana" w:hAnsi="Verdana"/>
          <w:i w:val="0"/>
          <w:kern w:val="26"/>
          <w:sz w:val="26"/>
          <w:szCs w:val="26"/>
        </w:rPr>
      </w:pPr>
    </w:p>
    <w:p w:rsidR="00C63A3F" w:rsidRPr="008E6323" w:rsidRDefault="00C63A3F" w:rsidP="008E6323">
      <w:pPr>
        <w:pStyle w:val="NameofTableRIR"/>
        <w:keepNext w:val="0"/>
        <w:widowControl/>
        <w:spacing w:before="0" w:beforeAutospacing="0" w:after="0" w:afterAutospacing="0"/>
        <w:jc w:val="center"/>
        <w:rPr>
          <w:rFonts w:ascii="Verdana" w:hAnsi="Verdana"/>
          <w:i w:val="0"/>
          <w:kern w:val="26"/>
          <w:sz w:val="22"/>
          <w:szCs w:val="22"/>
        </w:rPr>
      </w:pPr>
      <w:r w:rsidRPr="008E6323">
        <w:rPr>
          <w:rFonts w:ascii="Verdana" w:hAnsi="Verdana"/>
          <w:i w:val="0"/>
          <w:kern w:val="26"/>
          <w:sz w:val="22"/>
          <w:szCs w:val="22"/>
        </w:rPr>
        <w:t>Таблица</w:t>
      </w:r>
      <w:r w:rsidR="008E6323">
        <w:rPr>
          <w:rFonts w:ascii="Verdana" w:hAnsi="Verdana"/>
          <w:i w:val="0"/>
          <w:kern w:val="26"/>
          <w:sz w:val="22"/>
          <w:szCs w:val="22"/>
        </w:rPr>
        <w:t xml:space="preserve"> </w:t>
      </w:r>
      <w:r w:rsidRPr="008E6323">
        <w:rPr>
          <w:rFonts w:ascii="Verdana" w:hAnsi="Verdana"/>
          <w:i w:val="0"/>
          <w:kern w:val="26"/>
          <w:sz w:val="22"/>
          <w:szCs w:val="22"/>
        </w:rPr>
        <w:t>1 – Расчет дисперсий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551"/>
        <w:gridCol w:w="496"/>
        <w:gridCol w:w="638"/>
        <w:gridCol w:w="567"/>
        <w:gridCol w:w="567"/>
        <w:gridCol w:w="567"/>
        <w:gridCol w:w="1984"/>
      </w:tblGrid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1160" w:dyaOrig="400">
                <v:shape id="_x0000_i1043" type="#_x0000_t75" style="width:57.95pt;height:19.65pt" o:ole="">
                  <v:imagedata r:id="rId41" o:title=""/>
                </v:shape>
                <o:OLEObject Type="Embed" ProgID="Equation.3" ShapeID="_x0000_i1043" DrawAspect="Content" ObjectID="_1588063455" r:id="rId42"/>
              </w:object>
            </w: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12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 xml:space="preserve"> = 60/6 = 10</w:t>
            </w: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D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=(μ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–4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–4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–2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–2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left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460" w:dyaOrig="360">
                <v:shape id="_x0000_i1044" type="#_x0000_t75" style="width:22.45pt;height:17.75pt" o:ole="">
                  <v:imagedata r:id="rId43" o:title=""/>
                </v:shape>
                <o:OLEObject Type="Embed" ProgID="Equation.3" ShapeID="_x0000_i1044" DrawAspect="Content" ObjectID="_1588063456" r:id="rId44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=(μ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760" w:dyaOrig="400">
                <v:shape id="_x0000_i1045" type="#_x0000_t75" style="width:38.35pt;height:19.65pt" o:ole="">
                  <v:imagedata r:id="rId39" o:title=""/>
                </v:shape>
                <o:OLEObject Type="Embed" ProgID="Equation.3" ShapeID="_x0000_i1045" DrawAspect="Content" ObjectID="_1588063457" r:id="rId45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=112</w:t>
            </w: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D</w:t>
            </w:r>
            <w:r w:rsidRPr="00B43EE5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=(X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–2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+2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left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46" type="#_x0000_t75" style="width:17.75pt;height:17.75pt" o:ole="">
                  <v:imagedata r:id="rId46" o:title=""/>
                </v:shape>
                <o:OLEObject Type="Embed" ProgID="Equation.3" ShapeID="_x0000_i1046" DrawAspect="Content" ObjectID="_1588063458" r:id="rId47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=(X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639" w:dyaOrig="400">
                <v:shape id="_x0000_i1047" type="#_x0000_t75" style="width:31.8pt;height:19.65pt" o:ole="">
                  <v:imagedata r:id="rId48" o:title=""/>
                </v:shape>
                <o:OLEObject Type="Embed" ProgID="Equation.3" ShapeID="_x0000_i1047" DrawAspect="Content" ObjectID="_1588063459" r:id="rId49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=160</w:t>
            </w:r>
          </w:p>
        </w:tc>
      </w:tr>
    </w:tbl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proofErr w:type="gramStart"/>
      <w:r w:rsidRPr="00CF182F">
        <w:rPr>
          <w:rFonts w:ascii="Verdana" w:hAnsi="Verdana"/>
          <w:kern w:val="26"/>
          <w:sz w:val="26"/>
          <w:szCs w:val="26"/>
        </w:rPr>
        <w:t>Чтобы выяснить, насколько велика эта величина, необходимо отнести ее к сумме центральных отклонений по всему второму пр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 xml:space="preserve">знаку </w:t>
      </w:r>
      <w:r w:rsidRPr="00CF182F">
        <w:rPr>
          <w:rFonts w:ascii="Verdana" w:hAnsi="Verdana"/>
          <w:kern w:val="26"/>
          <w:sz w:val="26"/>
          <w:szCs w:val="26"/>
        </w:rPr>
        <w:object w:dxaOrig="639" w:dyaOrig="400">
          <v:shape id="_x0000_i1048" type="#_x0000_t75" style="width:33.65pt;height:20.55pt" o:ole="">
            <v:imagedata r:id="rId50" o:title=""/>
          </v:shape>
          <o:OLEObject Type="Embed" ProgID="Equation.3" ShapeID="_x0000_i1048" DrawAspect="Content" ObjectID="_1588063460" r:id="rId51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, которая рассчитывается обычным путем по разностям между каждым значением признака и общей средней изучаемого признака </w:t>
      </w:r>
      <w:r w:rsidRPr="00CF182F">
        <w:rPr>
          <w:rFonts w:ascii="Verdana" w:hAnsi="Verdana"/>
          <w:kern w:val="26"/>
          <w:sz w:val="26"/>
          <w:szCs w:val="26"/>
        </w:rPr>
        <w:object w:dxaOrig="660" w:dyaOrig="400">
          <v:shape id="_x0000_i1049" type="#_x0000_t75" style="width:37.4pt;height:22.45pt" o:ole="">
            <v:imagedata r:id="rId52" o:title=""/>
          </v:shape>
          <o:OLEObject Type="Embed" ProgID="Equation.3" ShapeID="_x0000_i1049" DrawAspect="Content" ObjectID="_1588063461" r:id="rId53"/>
        </w:object>
      </w:r>
      <w:r w:rsidRPr="00CF182F">
        <w:rPr>
          <w:rFonts w:ascii="Verdana" w:hAnsi="Verdana"/>
          <w:kern w:val="26"/>
          <w:sz w:val="26"/>
          <w:szCs w:val="26"/>
        </w:rPr>
        <w:t>=160.</w:t>
      </w:r>
      <w:proofErr w:type="gramEnd"/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Это значит, что степень разнообразия второго признака, св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>занная с изменчивостью всех факторов, влияющих на его развитие, выражается для разбираемого примера числом 160.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Разнообразие этого же признака, происшедшее в связи с тем, что первый признак принимал различные, постепенно увелич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 xml:space="preserve">вающиеся значения, выражается меньшим числом </w:t>
      </w:r>
      <w:r w:rsidRPr="00CF182F">
        <w:rPr>
          <w:rFonts w:ascii="Verdana" w:hAnsi="Verdana"/>
          <w:kern w:val="26"/>
          <w:sz w:val="26"/>
          <w:szCs w:val="26"/>
        </w:rPr>
        <w:object w:dxaOrig="760" w:dyaOrig="400">
          <v:shape id="_x0000_i1050" type="#_x0000_t75" style="width:43.95pt;height:23.4pt" o:ole="">
            <v:imagedata r:id="rId39" o:title=""/>
          </v:shape>
          <o:OLEObject Type="Embed" ProgID="Equation.3" ShapeID="_x0000_i1050" DrawAspect="Content" ObjectID="_1588063462" r:id="rId54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b/>
          <w:kern w:val="26"/>
          <w:sz w:val="26"/>
          <w:szCs w:val="26"/>
        </w:rPr>
        <w:t xml:space="preserve">= </w:t>
      </w:r>
      <w:r w:rsidRPr="00CF182F">
        <w:rPr>
          <w:rFonts w:ascii="Verdana" w:hAnsi="Verdana"/>
          <w:kern w:val="26"/>
          <w:sz w:val="26"/>
          <w:szCs w:val="26"/>
        </w:rPr>
        <w:t>112. Отношение этих двух показателей – частного и общего разнообр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зия – есть квадрат корреляционного отношения второго признака по первому</w:t>
      </w:r>
      <w:proofErr w:type="gramStart"/>
      <w:r w:rsidRPr="00CF182F">
        <w:rPr>
          <w:rFonts w:ascii="Verdana" w:hAnsi="Verdana"/>
          <w:kern w:val="26"/>
          <w:sz w:val="26"/>
          <w:szCs w:val="26"/>
        </w:rPr>
        <w:t>:</w:t>
      </w:r>
      <w:proofErr w:type="gramEnd"/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540" w:dyaOrig="760">
          <v:shape id="_x0000_i1051" type="#_x0000_t75" style="width:134.65pt;height:40.2pt" o:ole="">
            <v:imagedata r:id="rId55" o:title=""/>
          </v:shape>
          <o:OLEObject Type="Embed" ProgID="Equation.3" ShapeID="_x0000_i1051" DrawAspect="Content" ObjectID="_1588063463" r:id="rId56"/>
        </w:objec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lastRenderedPageBreak/>
        <w:t>Корреляционное отношение второго признака по первому для рассматриваемого примера</w:t>
      </w:r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3019" w:dyaOrig="820">
          <v:shape id="_x0000_i1052" type="#_x0000_t75" style="width:153.35pt;height:42.1pt" o:ole="">
            <v:imagedata r:id="rId57" o:title=""/>
          </v:shape>
          <o:OLEObject Type="Embed" ProgID="Equation.3" ShapeID="_x0000_i1052" DrawAspect="Content" ObjectID="_1588063464" r:id="rId58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Величина корреляционного отношения не может быть больше единицы и меньше нуля: этот показатель не может быть отриц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тельным.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Значение </w:t>
      </w:r>
      <w:r w:rsidRPr="00CF182F">
        <w:rPr>
          <w:rFonts w:ascii="Verdana" w:hAnsi="Verdana"/>
          <w:kern w:val="26"/>
          <w:sz w:val="26"/>
          <w:szCs w:val="26"/>
        </w:rPr>
        <w:object w:dxaOrig="1080" w:dyaOrig="400">
          <v:shape id="_x0000_i1053" type="#_x0000_t75" style="width:68.25pt;height:25.25pt" o:ole="">
            <v:imagedata r:id="rId59" o:title=""/>
          </v:shape>
          <o:OLEObject Type="Embed" ProgID="Equation.3" ShapeID="_x0000_i1053" DrawAspect="Content" ObjectID="_1588063465" r:id="rId60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свидетельствует о сильной корреляцио</w:t>
      </w:r>
      <w:r w:rsidRPr="00CF182F">
        <w:rPr>
          <w:rFonts w:ascii="Verdana" w:hAnsi="Verdana"/>
          <w:kern w:val="26"/>
          <w:sz w:val="26"/>
          <w:szCs w:val="26"/>
        </w:rPr>
        <w:t>н</w:t>
      </w:r>
      <w:r w:rsidRPr="00CF182F">
        <w:rPr>
          <w:rFonts w:ascii="Verdana" w:hAnsi="Verdana"/>
          <w:kern w:val="26"/>
          <w:sz w:val="26"/>
          <w:szCs w:val="26"/>
        </w:rPr>
        <w:t>ной связи второго признака с первым.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Может возникнуть вопрос – зачем понадобился новый показ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тель; нельзя ли в этом случае измерить степень связи при помощи основного показателя – коэффициента корреляции?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Для решения этого вопроса достаточно рассчитать коэффиц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ент корреляции для случая явно криволинейной связи, например, для только что изученной группы из 6 особей (таблица 2).</w:t>
      </w:r>
    </w:p>
    <w:p w:rsidR="00B93778" w:rsidRDefault="00B93778" w:rsidP="00B93778">
      <w:pPr>
        <w:pStyle w:val="NameofTableRIR"/>
        <w:keepNext w:val="0"/>
        <w:widowControl/>
        <w:spacing w:before="0" w:beforeAutospacing="0" w:after="0" w:afterAutospacing="0"/>
        <w:rPr>
          <w:rFonts w:ascii="Verdana" w:hAnsi="Verdana"/>
          <w:i w:val="0"/>
          <w:kern w:val="26"/>
          <w:sz w:val="26"/>
          <w:szCs w:val="26"/>
        </w:rPr>
      </w:pPr>
    </w:p>
    <w:p w:rsidR="00C63A3F" w:rsidRPr="00B43EE5" w:rsidRDefault="00C63A3F" w:rsidP="00B43EE5">
      <w:pPr>
        <w:pStyle w:val="NameofTableRIR"/>
        <w:keepNext w:val="0"/>
        <w:widowControl/>
        <w:spacing w:before="0" w:beforeAutospacing="0" w:after="0" w:afterAutospacing="0"/>
        <w:rPr>
          <w:rFonts w:ascii="Verdana" w:hAnsi="Verdana"/>
          <w:i w:val="0"/>
          <w:spacing w:val="-4"/>
          <w:kern w:val="26"/>
          <w:sz w:val="22"/>
          <w:szCs w:val="22"/>
        </w:rPr>
      </w:pPr>
      <w:r w:rsidRPr="00B43EE5">
        <w:rPr>
          <w:rFonts w:ascii="Verdana" w:hAnsi="Verdana"/>
          <w:i w:val="0"/>
          <w:spacing w:val="-4"/>
          <w:kern w:val="26"/>
          <w:sz w:val="22"/>
          <w:szCs w:val="22"/>
        </w:rPr>
        <w:t>Таблица</w:t>
      </w:r>
      <w:r w:rsidR="00B93778" w:rsidRPr="00B43EE5">
        <w:rPr>
          <w:rFonts w:ascii="Verdana" w:hAnsi="Verdana"/>
          <w:i w:val="0"/>
          <w:spacing w:val="-4"/>
          <w:kern w:val="26"/>
          <w:sz w:val="22"/>
          <w:szCs w:val="22"/>
        </w:rPr>
        <w:t xml:space="preserve"> </w:t>
      </w:r>
      <w:r w:rsidRPr="00B43EE5">
        <w:rPr>
          <w:rFonts w:ascii="Verdana" w:hAnsi="Verdana"/>
          <w:i w:val="0"/>
          <w:spacing w:val="-4"/>
          <w:kern w:val="26"/>
          <w:sz w:val="22"/>
          <w:szCs w:val="22"/>
        </w:rPr>
        <w:t>2 – Малый коэффициент корреляции при большой криволинейной связи</w:t>
      </w:r>
    </w:p>
    <w:tbl>
      <w:tblPr>
        <w:tblW w:w="9329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627"/>
        <w:gridCol w:w="525"/>
        <w:gridCol w:w="636"/>
        <w:gridCol w:w="687"/>
        <w:gridCol w:w="646"/>
        <w:gridCol w:w="636"/>
        <w:gridCol w:w="1548"/>
        <w:gridCol w:w="3246"/>
      </w:tblGrid>
      <w:tr w:rsidR="00C63A3F" w:rsidRPr="00B93778" w:rsidTr="00B93778">
        <w:trPr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4824" w:type="dxa"/>
            <w:gridSpan w:val="2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=36     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639" w:dyaOrig="400">
                <v:shape id="_x0000_i1054" type="#_x0000_t75" style="width:31.8pt;height:19.65pt" o:ole="">
                  <v:imagedata r:id="rId61" o:title=""/>
                </v:shape>
                <o:OLEObject Type="Embed" ProgID="Equation.3" ShapeID="_x0000_i1054" DrawAspect="Content" ObjectID="_1588063466" r:id="rId62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=232–362/6=16</w:t>
            </w:r>
          </w:p>
        </w:tc>
      </w:tr>
      <w:tr w:rsidR="00C63A3F" w:rsidRPr="00B93778" w:rsidTr="00B93778">
        <w:trPr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14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18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12</w:t>
            </w:r>
          </w:p>
        </w:tc>
        <w:tc>
          <w:tcPr>
            <w:tcW w:w="4824" w:type="dxa"/>
            <w:gridSpan w:val="2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=60     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639" w:dyaOrig="400">
                <v:shape id="_x0000_i1055" type="#_x0000_t75" style="width:31.8pt;height:19.65pt" o:ole="">
                  <v:imagedata r:id="rId63" o:title=""/>
                </v:shape>
                <o:OLEObject Type="Embed" ProgID="Equation.3" ShapeID="_x0000_i1055" DrawAspect="Content" ObjectID="_1588063467" r:id="rId64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=760–602/6=160</w:t>
            </w:r>
          </w:p>
        </w:tc>
      </w:tr>
      <w:tr w:rsidR="00C63A3F" w:rsidRPr="00B93778" w:rsidTr="00B93778">
        <w:trPr>
          <w:cantSplit/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56" type="#_x0000_t75" style="width:17.75pt;height:17.75pt" o:ole="">
                  <v:imagedata r:id="rId65" o:title=""/>
                </v:shape>
                <o:OLEObject Type="Embed" ProgID="Equation.3" ShapeID="_x0000_i1056" DrawAspect="Content" ObjectID="_1588063468" r:id="rId66"/>
              </w:objec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1554" w:type="dxa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57" type="#_x0000_t75" style="width:17.75pt;height:17.75pt" o:ole="">
                  <v:imagedata r:id="rId67" o:title=""/>
                </v:shape>
                <o:OLEObject Type="Embed" ProgID="Equation.3" ShapeID="_x0000_i1057" DrawAspect="Content" ObjectID="_1588063469" r:id="rId68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=232</w:t>
            </w:r>
          </w:p>
        </w:tc>
        <w:tc>
          <w:tcPr>
            <w:tcW w:w="3270" w:type="dxa"/>
            <w:vMerge w:val="restart"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2820" w:dyaOrig="620">
                <v:shape id="_x0000_i1058" type="#_x0000_t75" style="width:141.2pt;height:30.85pt" o:ole="">
                  <v:imagedata r:id="rId69" o:title=""/>
                </v:shape>
                <o:OLEObject Type="Embed" ProgID="Equation.3" ShapeID="_x0000_i1058" DrawAspect="Content" ObjectID="_1588063470" r:id="rId70"/>
              </w:object>
            </w:r>
          </w:p>
          <w:p w:rsidR="00C63A3F" w:rsidRPr="00B93778" w:rsidRDefault="00C63A3F" w:rsidP="00B93778">
            <w:pPr>
              <w:pStyle w:val="HellyRIR"/>
              <w:widowControl/>
              <w:ind w:firstLine="0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2100" w:dyaOrig="660">
                <v:shape id="_x0000_i1059" type="#_x0000_t75" style="width:104.75pt;height:32.75pt" o:ole="">
                  <v:imagedata r:id="rId71" o:title=""/>
                </v:shape>
                <o:OLEObject Type="Embed" ProgID="Equation.3" ShapeID="_x0000_i1059" DrawAspect="Content" ObjectID="_1588063471" r:id="rId72"/>
              </w:object>
            </w:r>
          </w:p>
        </w:tc>
      </w:tr>
      <w:tr w:rsidR="00C63A3F" w:rsidRPr="00B93778" w:rsidTr="00B93778">
        <w:trPr>
          <w:cantSplit/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60" type="#_x0000_t75" style="width:17.75pt;height:17.75pt" o:ole="">
                  <v:imagedata r:id="rId73" o:title=""/>
                </v:shape>
                <o:OLEObject Type="Embed" ProgID="Equation.3" ShapeID="_x0000_i1060" DrawAspect="Content" ObjectID="_1588063472" r:id="rId74"/>
              </w:objec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196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324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144</w:t>
            </w:r>
          </w:p>
        </w:tc>
        <w:tc>
          <w:tcPr>
            <w:tcW w:w="1554" w:type="dxa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61" type="#_x0000_t75" style="width:17.75pt;height:17.75pt" o:ole="">
                  <v:imagedata r:id="rId75" o:title=""/>
                </v:shape>
                <o:OLEObject Type="Embed" ProgID="Equation.3" ShapeID="_x0000_i1061" DrawAspect="Content" ObjectID="_1588063473" r:id="rId76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=760</w:t>
            </w:r>
          </w:p>
        </w:tc>
        <w:tc>
          <w:tcPr>
            <w:tcW w:w="3270" w:type="dxa"/>
            <w:vMerge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B93778" w:rsidTr="00B93778">
        <w:trPr>
          <w:cantSplit/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  <w:r w:rsidRPr="00B93778">
              <w:rPr>
                <w:rStyle w:val="HellyRIR2"/>
                <w:rFonts w:ascii="Verdana" w:hAnsi="Verdana"/>
                <w:i/>
                <w:kern w:val="26"/>
                <w:sz w:val="22"/>
                <w:szCs w:val="22"/>
              </w:rPr>
              <w:sym w:font="Symbol" w:char="F0D7"/>
            </w: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32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84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108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32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96</w:t>
            </w:r>
          </w:p>
        </w:tc>
        <w:tc>
          <w:tcPr>
            <w:tcW w:w="1554" w:type="dxa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DA23C4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  <w:r w:rsidR="00C63A3F" w:rsidRPr="00B93778">
              <w:rPr>
                <w:rStyle w:val="HellyRIR2"/>
                <w:rFonts w:ascii="Verdana" w:hAnsi="Verdana"/>
                <w:i w:val="0"/>
                <w:kern w:val="26"/>
                <w:sz w:val="22"/>
                <w:szCs w:val="22"/>
              </w:rPr>
              <w:sym w:font="Symbol" w:char="F0D7"/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DA23C4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=368</w:t>
            </w:r>
          </w:p>
        </w:tc>
        <w:tc>
          <w:tcPr>
            <w:tcW w:w="3270" w:type="dxa"/>
            <w:vMerge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</w:tbl>
    <w:p w:rsidR="00B93778" w:rsidRDefault="00B93778" w:rsidP="00B93778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  <w:lang w:val="en-US"/>
        </w:rPr>
      </w:pPr>
      <w:bookmarkStart w:id="5" w:name="_Toc114928460"/>
      <w:bookmarkStart w:id="6" w:name="_Toc134253995"/>
      <w:bookmarkStart w:id="7" w:name="_Toc230016310"/>
      <w:bookmarkStart w:id="8" w:name="_Toc241211409"/>
      <w:bookmarkStart w:id="9" w:name="_Toc243926757"/>
    </w:p>
    <w:p w:rsidR="00B43EE5" w:rsidRPr="00CF182F" w:rsidRDefault="00B43EE5" w:rsidP="00B43EE5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Получился очень малый коэффициент корреляции (</w:t>
      </w:r>
      <w:r w:rsidRPr="00CF182F">
        <w:rPr>
          <w:rFonts w:ascii="Verdana" w:hAnsi="Verdana"/>
          <w:i/>
          <w:kern w:val="26"/>
          <w:sz w:val="26"/>
          <w:szCs w:val="26"/>
        </w:rPr>
        <w:t>r</w:t>
      </w:r>
      <w:r w:rsidRPr="00CF182F">
        <w:rPr>
          <w:rFonts w:ascii="Verdana" w:hAnsi="Verdana"/>
          <w:kern w:val="26"/>
          <w:sz w:val="26"/>
          <w:szCs w:val="26"/>
        </w:rPr>
        <w:t>=+0,16), что находится в явном противоречии и с видом корреляционных рядов и с величиной корреляционного отношения. Объясняется это тем, что коэффициент корреляции не может характеризовать ст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пень криволинейной связи.</w:t>
      </w:r>
    </w:p>
    <w:p w:rsidR="00B43EE5" w:rsidRPr="00B43EE5" w:rsidRDefault="00B43EE5" w:rsidP="00B43EE5">
      <w:pPr>
        <w:pStyle w:val="HellyRIR"/>
        <w:rPr>
          <w:lang w:val="ru-RU"/>
        </w:rPr>
      </w:pPr>
    </w:p>
    <w:p w:rsidR="00C63A3F" w:rsidRPr="00CF182F" w:rsidRDefault="00B93778" w:rsidP="00B93778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2 </w:t>
      </w:r>
      <w:r w:rsidR="00C63A3F" w:rsidRPr="00CF182F">
        <w:rPr>
          <w:rFonts w:ascii="Verdana" w:hAnsi="Verdana"/>
          <w:kern w:val="26"/>
          <w:sz w:val="26"/>
          <w:szCs w:val="26"/>
        </w:rPr>
        <w:t>Свойства корреляционного отношения</w:t>
      </w:r>
      <w:bookmarkEnd w:id="5"/>
      <w:bookmarkEnd w:id="6"/>
      <w:bookmarkEnd w:id="7"/>
      <w:bookmarkEnd w:id="8"/>
      <w:bookmarkEnd w:id="9"/>
    </w:p>
    <w:p w:rsidR="00B93778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Корреляционное отношение измеряет степень корреляции при любой ее форме.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Кроме того, корреляционное отношение обладает рядом др</w:t>
      </w:r>
      <w:r w:rsidRPr="00CF182F">
        <w:rPr>
          <w:rFonts w:ascii="Verdana" w:hAnsi="Verdana"/>
          <w:kern w:val="26"/>
          <w:sz w:val="26"/>
          <w:szCs w:val="26"/>
        </w:rPr>
        <w:t>у</w:t>
      </w:r>
      <w:r w:rsidRPr="00CF182F">
        <w:rPr>
          <w:rFonts w:ascii="Verdana" w:hAnsi="Verdana"/>
          <w:kern w:val="26"/>
          <w:sz w:val="26"/>
          <w:szCs w:val="26"/>
        </w:rPr>
        <w:t>гих свойств, представляющих большой интерес в статистическом анализе корреляционных связей.</w:t>
      </w:r>
    </w:p>
    <w:p w:rsidR="00DA23C4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отличие от коэффициента корреляции, который дает один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ковую меру связи признаков (первого со вторым и второго с пе</w:t>
      </w:r>
      <w:r w:rsidRPr="00CF182F">
        <w:rPr>
          <w:rFonts w:ascii="Verdana" w:hAnsi="Verdana"/>
          <w:kern w:val="26"/>
          <w:sz w:val="26"/>
          <w:szCs w:val="26"/>
        </w:rPr>
        <w:t>р</w:t>
      </w:r>
      <w:r w:rsidRPr="00CF182F">
        <w:rPr>
          <w:rFonts w:ascii="Verdana" w:hAnsi="Verdana"/>
          <w:kern w:val="26"/>
          <w:sz w:val="26"/>
          <w:szCs w:val="26"/>
        </w:rPr>
        <w:t>вым), корреляционное отношение второго признака по первому обычно не бывает равно корреляционному отношению первого признака по второму:</w:t>
      </w:r>
      <w:r w:rsidR="00DA23C4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kern w:val="26"/>
          <w:sz w:val="26"/>
          <w:szCs w:val="26"/>
        </w:rPr>
        <w:object w:dxaOrig="999" w:dyaOrig="400">
          <v:shape id="_x0000_i1062" type="#_x0000_t75" style="width:58.9pt;height:24.3pt" o:ole="">
            <v:imagedata r:id="rId77" o:title=""/>
          </v:shape>
          <o:OLEObject Type="Embed" ProgID="Equation.3" ShapeID="_x0000_i1062" DrawAspect="Content" ObjectID="_1588063474" r:id="rId78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lastRenderedPageBreak/>
        <w:t>На первый взгляд это кажется невозможным. Казалось бы, между двумя признаками может быть только одна связь, которая в данный; момент всегда равна самой себе, независимо от того, с к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кого признака мы начинаем ее измерять: от второго к первому или наоборот.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На самом деле, это положение, не всегда подтверждается практикой измерения обратных связей в биологии.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Конечно, если изучается связь между такими парами призн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ков, как длина и ширина тела, цвет волос и цвет глаз, вес и объем продукта, урожай на соседних делянках, равенство обратных св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>зей не подлежит сомнению.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Однако существуют такие пары коррелируемых признаков, для которых очевидно, что обратные связи не могут быть равны. Например, связь с возрастом различных признаков животных и растений всегда имеет характер односторонней зависимости. Вес, размеры, объем, продуктивность, плодовитость, жизненность им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ют явную зависимость от возраста, но сам возраст изменяется с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вершенно независимо от этих признаков: он регулярно и неотвр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тимо увеличивается с каждым днем, месяцем, годом. Связь урожая с количеством осадков или с температурой также имеет характер явно односторонней зависимости: урожай связан с температурой воздуха, но температура воздуха не зависит от урожая.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Это неравенство обратных связей между условиями жизни и жизненными функциями и отражается в неравенстве двух обра</w:t>
      </w:r>
      <w:r w:rsidRPr="00CF182F">
        <w:rPr>
          <w:rFonts w:ascii="Verdana" w:hAnsi="Verdana"/>
          <w:kern w:val="26"/>
          <w:sz w:val="26"/>
          <w:szCs w:val="26"/>
        </w:rPr>
        <w:t>т</w:t>
      </w:r>
      <w:r w:rsidRPr="00CF182F">
        <w:rPr>
          <w:rFonts w:ascii="Verdana" w:hAnsi="Verdana"/>
          <w:kern w:val="26"/>
          <w:sz w:val="26"/>
          <w:szCs w:val="26"/>
        </w:rPr>
        <w:t>ных корреляционных отношений.</w:t>
      </w:r>
    </w:p>
    <w:p w:rsidR="00C63A3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Неравенство обратных связей может быть столь велико, что одно из корреляционных отношений, например второго признака по первому, может иметь достаточную величину, а другое (первого признака по второму) равно нулю.</w:t>
      </w:r>
    </w:p>
    <w:p w:rsidR="00B93778" w:rsidRPr="00CF182F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B93778" w:rsidRDefault="00B93778" w:rsidP="00B93778">
      <w:pPr>
        <w:pStyle w:val="HellyRIR3"/>
        <w:widowControl/>
        <w:ind w:firstLine="709"/>
        <w:rPr>
          <w:rFonts w:ascii="Verdana" w:hAnsi="Verdana"/>
          <w:b/>
          <w:kern w:val="26"/>
          <w:sz w:val="26"/>
          <w:szCs w:val="26"/>
        </w:rPr>
      </w:pPr>
      <w:bookmarkStart w:id="10" w:name="_Toc114928461"/>
      <w:bookmarkStart w:id="11" w:name="_Toc134253996"/>
      <w:bookmarkStart w:id="12" w:name="_Toc230016311"/>
      <w:bookmarkStart w:id="13" w:name="_Toc241211410"/>
      <w:bookmarkStart w:id="14" w:name="_Toc243926758"/>
      <w:r w:rsidRPr="00B93778">
        <w:rPr>
          <w:rFonts w:ascii="Verdana" w:hAnsi="Verdana"/>
          <w:b/>
          <w:kern w:val="26"/>
          <w:sz w:val="26"/>
          <w:szCs w:val="26"/>
        </w:rPr>
        <w:t xml:space="preserve">3 </w:t>
      </w:r>
      <w:r w:rsidR="00C63A3F" w:rsidRPr="00B93778">
        <w:rPr>
          <w:rFonts w:ascii="Verdana" w:hAnsi="Verdana"/>
          <w:b/>
          <w:kern w:val="26"/>
          <w:sz w:val="26"/>
          <w:szCs w:val="26"/>
        </w:rPr>
        <w:t xml:space="preserve">Ошибка репрезентативности корреляционного </w:t>
      </w:r>
      <w:r>
        <w:rPr>
          <w:rFonts w:ascii="Verdana" w:hAnsi="Verdana"/>
          <w:b/>
          <w:kern w:val="26"/>
          <w:sz w:val="26"/>
          <w:szCs w:val="26"/>
        </w:rPr>
        <w:t xml:space="preserve">        </w:t>
      </w:r>
      <w:r w:rsidR="00C63A3F" w:rsidRPr="00B93778">
        <w:rPr>
          <w:rFonts w:ascii="Verdana" w:hAnsi="Verdana"/>
          <w:b/>
          <w:kern w:val="26"/>
          <w:sz w:val="26"/>
          <w:szCs w:val="26"/>
        </w:rPr>
        <w:t>отношения</w:t>
      </w:r>
      <w:bookmarkEnd w:id="10"/>
      <w:bookmarkEnd w:id="11"/>
      <w:bookmarkEnd w:id="12"/>
      <w:bookmarkEnd w:id="13"/>
      <w:bookmarkEnd w:id="14"/>
    </w:p>
    <w:p w:rsidR="00B93778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Еще не разработано точной формулы ошибки репрезентати</w:t>
      </w:r>
      <w:r w:rsidRPr="00CF182F">
        <w:rPr>
          <w:rFonts w:ascii="Verdana" w:hAnsi="Verdana"/>
          <w:kern w:val="26"/>
          <w:sz w:val="26"/>
          <w:szCs w:val="26"/>
        </w:rPr>
        <w:t>в</w:t>
      </w:r>
      <w:r w:rsidRPr="00CF182F">
        <w:rPr>
          <w:rFonts w:ascii="Verdana" w:hAnsi="Verdana"/>
          <w:kern w:val="26"/>
          <w:sz w:val="26"/>
          <w:szCs w:val="26"/>
        </w:rPr>
        <w:t>ности корреляционного отношения. Обычно приводимая в учебн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ках формула имеет недостатки, которыми не всегда можно прене</w:t>
      </w:r>
      <w:r w:rsidRPr="00CF182F">
        <w:rPr>
          <w:rFonts w:ascii="Verdana" w:hAnsi="Verdana"/>
          <w:kern w:val="26"/>
          <w:sz w:val="26"/>
          <w:szCs w:val="26"/>
        </w:rPr>
        <w:t>б</w:t>
      </w:r>
      <w:r w:rsidRPr="00CF182F">
        <w:rPr>
          <w:rFonts w:ascii="Verdana" w:hAnsi="Verdana"/>
          <w:kern w:val="26"/>
          <w:sz w:val="26"/>
          <w:szCs w:val="26"/>
        </w:rPr>
        <w:t>речь. Эта формула не учитывает числа классов, по которым ра</w:t>
      </w:r>
      <w:r w:rsidRPr="00CF182F">
        <w:rPr>
          <w:rFonts w:ascii="Verdana" w:hAnsi="Verdana"/>
          <w:kern w:val="26"/>
          <w:sz w:val="26"/>
          <w:szCs w:val="26"/>
        </w:rPr>
        <w:t>с</w:t>
      </w:r>
      <w:r w:rsidRPr="00CF182F">
        <w:rPr>
          <w:rFonts w:ascii="Verdana" w:hAnsi="Verdana"/>
          <w:kern w:val="26"/>
          <w:sz w:val="26"/>
          <w:szCs w:val="26"/>
        </w:rPr>
        <w:t>считывается корреляционное отношение:</w:t>
      </w:r>
    </w:p>
    <w:p w:rsidR="00B93778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280" w:dyaOrig="720">
          <v:shape id="_x0000_i1063" type="#_x0000_t75" style="width:68.25pt;height:38.35pt" o:ole="">
            <v:imagedata r:id="rId79" o:title=""/>
          </v:shape>
          <o:OLEObject Type="Embed" ProgID="Equation.3" ShapeID="_x0000_i1063" DrawAspect="Content" ObjectID="_1588063475" r:id="rId80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Если один и тот же материал разбить по первому признаку (аргументу) на большое или малое число классов, то это различие в числе классов очень заметно скажется на величине выборочного показателя криволинейной связи и на его достоверности.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lastRenderedPageBreak/>
        <w:t>В настоящее время можно использовать примерное значение ошибки не самого корреляционного отношения, а его квадрата η</w:t>
      </w:r>
      <w:r w:rsidRPr="00B93778">
        <w:rPr>
          <w:rFonts w:ascii="Verdana" w:hAnsi="Verdana"/>
          <w:kern w:val="26"/>
          <w:sz w:val="26"/>
          <w:szCs w:val="26"/>
          <w:vertAlign w:val="superscript"/>
        </w:rPr>
        <w:t>2</w:t>
      </w:r>
      <w:r w:rsidRPr="00CF182F">
        <w:rPr>
          <w:rFonts w:ascii="Verdana" w:hAnsi="Verdana"/>
          <w:kern w:val="26"/>
          <w:sz w:val="26"/>
          <w:szCs w:val="26"/>
        </w:rPr>
        <w:t>:</w:t>
      </w:r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960" w:dyaOrig="660">
          <v:shape id="_x0000_i1064" type="#_x0000_t75" style="width:111.25pt;height:37.4pt" o:ole="">
            <v:imagedata r:id="rId81" o:title=""/>
          </v:shape>
          <o:OLEObject Type="Embed" ProgID="Equation.3" ShapeID="_x0000_i1064" DrawAspect="Content" ObjectID="_1588063476" r:id="rId82"/>
        </w:objec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t>где:</w:t>
      </w:r>
      <w:r w:rsidR="00B93778" w:rsidRPr="00B93778">
        <w:rPr>
          <w:rFonts w:ascii="Verdana" w:hAnsi="Verdana"/>
          <w:kern w:val="26"/>
          <w:sz w:val="22"/>
          <w:szCs w:val="22"/>
        </w:rPr>
        <w:t xml:space="preserve"> </w:t>
      </w:r>
      <w:r w:rsidRPr="00B93778">
        <w:rPr>
          <w:rFonts w:ascii="Verdana" w:hAnsi="Verdana"/>
          <w:kern w:val="26"/>
          <w:sz w:val="22"/>
          <w:szCs w:val="22"/>
        </w:rPr>
        <w:object w:dxaOrig="340" w:dyaOrig="400">
          <v:shape id="_x0000_i1065" type="#_x0000_t75" style="width:19.65pt;height:23.4pt" o:ole="">
            <v:imagedata r:id="rId83" o:title=""/>
          </v:shape>
          <o:OLEObject Type="Embed" ProgID="Equation.3" ShapeID="_x0000_i1065" DrawAspect="Content" ObjectID="_1588063477" r:id="rId84"/>
        </w:object>
      </w:r>
      <w:r w:rsidRPr="00B93778">
        <w:rPr>
          <w:rFonts w:ascii="Verdana" w:hAnsi="Verdana"/>
          <w:kern w:val="26"/>
          <w:sz w:val="22"/>
          <w:szCs w:val="22"/>
        </w:rPr>
        <w:t>– ошибка квадрата корреляционного отношения;</w:t>
      </w:r>
      <w:r w:rsidR="00B93778" w:rsidRPr="00B93778">
        <w:rPr>
          <w:rFonts w:ascii="Verdana" w:hAnsi="Verdana"/>
          <w:kern w:val="26"/>
          <w:sz w:val="22"/>
          <w:szCs w:val="22"/>
        </w:rPr>
        <w:t xml:space="preserve"> </w:t>
      </w:r>
      <w:r w:rsidRPr="00B93778">
        <w:rPr>
          <w:rFonts w:ascii="Verdana" w:hAnsi="Verdana"/>
          <w:i/>
          <w:kern w:val="26"/>
          <w:sz w:val="22"/>
          <w:szCs w:val="22"/>
        </w:rPr>
        <w:t xml:space="preserve">g </w:t>
      </w:r>
      <w:r w:rsidRPr="00B93778">
        <w:rPr>
          <w:rFonts w:ascii="Verdana" w:hAnsi="Verdana"/>
          <w:kern w:val="26"/>
          <w:sz w:val="22"/>
          <w:szCs w:val="22"/>
        </w:rPr>
        <w:t>– число кла</w:t>
      </w:r>
      <w:r w:rsidRPr="00B93778">
        <w:rPr>
          <w:rFonts w:ascii="Verdana" w:hAnsi="Verdana"/>
          <w:kern w:val="26"/>
          <w:sz w:val="22"/>
          <w:szCs w:val="22"/>
        </w:rPr>
        <w:t>с</w:t>
      </w:r>
      <w:r w:rsidRPr="00B93778">
        <w:rPr>
          <w:rFonts w:ascii="Verdana" w:hAnsi="Verdana"/>
          <w:kern w:val="26"/>
          <w:sz w:val="22"/>
          <w:szCs w:val="22"/>
        </w:rPr>
        <w:t>сов первого признака;</w:t>
      </w:r>
      <w:r w:rsidR="00B93778" w:rsidRPr="00B93778">
        <w:rPr>
          <w:rFonts w:ascii="Verdana" w:hAnsi="Verdana"/>
          <w:kern w:val="26"/>
          <w:sz w:val="22"/>
          <w:szCs w:val="22"/>
        </w:rPr>
        <w:t xml:space="preserve"> </w:t>
      </w:r>
      <w:r w:rsidRPr="00B93778">
        <w:rPr>
          <w:rFonts w:ascii="Verdana" w:hAnsi="Verdana"/>
          <w:i/>
          <w:kern w:val="26"/>
          <w:sz w:val="22"/>
          <w:szCs w:val="22"/>
        </w:rPr>
        <w:t>N</w:t>
      </w:r>
      <w:r w:rsidRPr="00B93778">
        <w:rPr>
          <w:rFonts w:ascii="Verdana" w:hAnsi="Verdana"/>
          <w:kern w:val="26"/>
          <w:sz w:val="22"/>
          <w:szCs w:val="22"/>
        </w:rPr>
        <w:t xml:space="preserve"> – объем выборки.</w:t>
      </w:r>
    </w:p>
    <w:p w:rsidR="00B93778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При использовании этой ошибки для определения критерия достоверности и доверительных границ квадрата корреляционного отношения вместо критерия Стьюдента следует брать преобраз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ванный критерий Фишера (</w:t>
      </w:r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CF182F">
        <w:rPr>
          <w:rFonts w:ascii="Verdana" w:hAnsi="Verdana"/>
          <w:kern w:val="26"/>
          <w:sz w:val="26"/>
          <w:szCs w:val="26"/>
        </w:rPr>
        <w:t>), применяющийся в дисперсионном анализе как критерий достоверности показателей силы влияния.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Критерий, достоверности (</w:t>
      </w:r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CF182F">
        <w:rPr>
          <w:rFonts w:ascii="Verdana" w:hAnsi="Verdana"/>
          <w:kern w:val="26"/>
          <w:sz w:val="26"/>
          <w:szCs w:val="26"/>
        </w:rPr>
        <w:t>) и доверительные границы ква</w:t>
      </w:r>
      <w:r w:rsidRPr="00CF182F">
        <w:rPr>
          <w:rFonts w:ascii="Verdana" w:hAnsi="Verdana"/>
          <w:kern w:val="26"/>
          <w:sz w:val="26"/>
          <w:szCs w:val="26"/>
        </w:rPr>
        <w:t>д</w:t>
      </w:r>
      <w:r w:rsidRPr="00CF182F">
        <w:rPr>
          <w:rFonts w:ascii="Verdana" w:hAnsi="Verdana"/>
          <w:kern w:val="26"/>
          <w:sz w:val="26"/>
          <w:szCs w:val="26"/>
        </w:rPr>
        <w:t xml:space="preserve">рата корреляционного отношения </w:t>
      </w:r>
      <w:r w:rsidRPr="00CF182F">
        <w:rPr>
          <w:rFonts w:ascii="Verdana" w:hAnsi="Verdana"/>
          <w:kern w:val="26"/>
          <w:sz w:val="26"/>
          <w:szCs w:val="26"/>
        </w:rPr>
        <w:object w:dxaOrig="300" w:dyaOrig="360">
          <v:shape id="_x0000_i1066" type="#_x0000_t75" style="width:14.95pt;height:17.75pt" o:ole="">
            <v:imagedata r:id="rId85" o:title=""/>
          </v:shape>
          <o:OLEObject Type="Embed" ProgID="Equation.3" ShapeID="_x0000_i1066" DrawAspect="Content" ObjectID="_1588063478" r:id="rId86"/>
        </w:object>
      </w:r>
      <w:r w:rsidRPr="00CF182F">
        <w:rPr>
          <w:rFonts w:ascii="Verdana" w:hAnsi="Verdana"/>
          <w:kern w:val="26"/>
          <w:sz w:val="26"/>
          <w:szCs w:val="26"/>
        </w:rPr>
        <w:t>определяются по следующим формулам:</w:t>
      </w:r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300" w:dyaOrig="780">
          <v:shape id="_x0000_i1067" type="#_x0000_t75" style="width:73.85pt;height:43.95pt" o:ole="">
            <v:imagedata r:id="rId87" o:title=""/>
          </v:shape>
          <o:OLEObject Type="Embed" ProgID="Equation.3" ShapeID="_x0000_i1067" DrawAspect="Content" ObjectID="_1588063479" r:id="rId88"/>
        </w:object>
      </w:r>
      <w:r w:rsidRPr="00CF182F">
        <w:rPr>
          <w:rFonts w:ascii="Verdana" w:hAnsi="Verdana"/>
          <w:kern w:val="26"/>
          <w:sz w:val="26"/>
          <w:szCs w:val="26"/>
        </w:rPr>
        <w:t>,</w:t>
      </w:r>
      <w:r w:rsidRPr="00CF182F">
        <w:rPr>
          <w:rFonts w:ascii="Verdana" w:hAnsi="Verdana"/>
          <w:kern w:val="26"/>
          <w:sz w:val="26"/>
          <w:szCs w:val="26"/>
        </w:rPr>
        <w:tab/>
      </w:r>
      <w:r w:rsidRPr="00CF182F">
        <w:rPr>
          <w:rFonts w:ascii="Verdana" w:hAnsi="Verdana"/>
          <w:kern w:val="26"/>
          <w:sz w:val="26"/>
          <w:szCs w:val="26"/>
        </w:rPr>
        <w:object w:dxaOrig="1380" w:dyaOrig="760">
          <v:shape id="_x0000_i1068" type="#_x0000_t75" style="width:79.5pt;height:43.95pt" o:ole="">
            <v:imagedata r:id="rId89" o:title=""/>
          </v:shape>
          <o:OLEObject Type="Embed" ProgID="Equation.3" ShapeID="_x0000_i1068" DrawAspect="Content" ObjectID="_1588063480" r:id="rId90"/>
        </w:object>
      </w:r>
    </w:p>
    <w:p w:rsidR="00B93778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200" w:dyaOrig="400">
          <v:shape id="_x0000_i1069" type="#_x0000_t75" style="width:69.2pt;height:23.4pt" o:ole="">
            <v:imagedata r:id="rId91" o:title=""/>
          </v:shape>
          <o:OLEObject Type="Embed" ProgID="Equation.3" ShapeID="_x0000_i1069" DrawAspect="Content" ObjectID="_1588063481" r:id="rId92"/>
        </w:object>
      </w:r>
      <w:r w:rsidRPr="00CF182F">
        <w:rPr>
          <w:rFonts w:ascii="Verdana" w:hAnsi="Verdana"/>
          <w:kern w:val="26"/>
          <w:sz w:val="26"/>
          <w:szCs w:val="26"/>
        </w:rPr>
        <w:t>,</w:t>
      </w:r>
    </w:p>
    <w:p w:rsidR="00B93778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120" w:dyaOrig="440">
          <v:shape id="_x0000_i1070" type="#_x0000_t75" style="width:69.2pt;height:26.2pt" o:ole="">
            <v:imagedata r:id="rId93" o:title=""/>
          </v:shape>
          <o:OLEObject Type="Embed" ProgID="Equation.3" ShapeID="_x0000_i1070" DrawAspect="Content" ObjectID="_1588063482" r:id="rId94"/>
        </w:object>
      </w:r>
      <w:r w:rsidRPr="00CF182F">
        <w:rPr>
          <w:rFonts w:ascii="Verdana" w:hAnsi="Verdana"/>
          <w:kern w:val="26"/>
          <w:sz w:val="26"/>
          <w:szCs w:val="26"/>
        </w:rPr>
        <w:tab/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t>В этих формулах: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t>F</w:t>
      </w:r>
      <w:r w:rsidRPr="00B93778">
        <w:rPr>
          <w:rFonts w:ascii="Verdana" w:hAnsi="Verdana"/>
          <w:kern w:val="26"/>
          <w:sz w:val="22"/>
          <w:szCs w:val="22"/>
        </w:rPr>
        <w:t xml:space="preserve"> – критерий достоверности квадрата корреляционного отношения, осн</w:t>
      </w:r>
      <w:r w:rsidRPr="00B93778">
        <w:rPr>
          <w:rFonts w:ascii="Verdana" w:hAnsi="Verdana"/>
          <w:kern w:val="26"/>
          <w:sz w:val="22"/>
          <w:szCs w:val="22"/>
        </w:rPr>
        <w:t>о</w:t>
      </w:r>
      <w:r w:rsidRPr="00B93778">
        <w:rPr>
          <w:rFonts w:ascii="Verdana" w:hAnsi="Verdana"/>
          <w:kern w:val="26"/>
          <w:sz w:val="22"/>
          <w:szCs w:val="22"/>
        </w:rPr>
        <w:t>ванный на применении примерной формулы ошибки этого показателя. Этот критерий в точности равен критерию Фишера;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object w:dxaOrig="300" w:dyaOrig="360">
          <v:shape id="_x0000_i1071" type="#_x0000_t75" style="width:14.95pt;height:17.75pt" o:ole="">
            <v:imagedata r:id="rId85" o:title=""/>
          </v:shape>
          <o:OLEObject Type="Embed" ProgID="Equation.3" ShapeID="_x0000_i1071" DrawAspect="Content" ObjectID="_1588063483" r:id="rId95"/>
        </w:object>
      </w:r>
      <w:r w:rsidRPr="00B93778">
        <w:rPr>
          <w:rFonts w:ascii="Verdana" w:hAnsi="Verdana"/>
          <w:kern w:val="26"/>
          <w:sz w:val="22"/>
          <w:szCs w:val="22"/>
        </w:rPr>
        <w:t xml:space="preserve"> – квадрат корреляционного отношения;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object w:dxaOrig="1960" w:dyaOrig="660">
          <v:shape id="_x0000_i1072" type="#_x0000_t75" style="width:109.4pt;height:37.4pt" o:ole="">
            <v:imagedata r:id="rId96" o:title=""/>
          </v:shape>
          <o:OLEObject Type="Embed" ProgID="Equation.3" ShapeID="_x0000_i1072" DrawAspect="Content" ObjectID="_1588063484" r:id="rId97"/>
        </w:object>
      </w:r>
      <w:r w:rsidRPr="00B93778">
        <w:rPr>
          <w:rFonts w:ascii="Verdana" w:hAnsi="Verdana"/>
          <w:kern w:val="26"/>
          <w:sz w:val="22"/>
          <w:szCs w:val="22"/>
        </w:rPr>
        <w:t>– ошибка репрезентативности квадрата корреляцио</w:t>
      </w:r>
      <w:r w:rsidRPr="00B93778">
        <w:rPr>
          <w:rFonts w:ascii="Verdana" w:hAnsi="Verdana"/>
          <w:kern w:val="26"/>
          <w:sz w:val="22"/>
          <w:szCs w:val="22"/>
        </w:rPr>
        <w:t>н</w:t>
      </w:r>
      <w:r w:rsidRPr="00B93778">
        <w:rPr>
          <w:rFonts w:ascii="Verdana" w:hAnsi="Verdana"/>
          <w:kern w:val="26"/>
          <w:sz w:val="22"/>
          <w:szCs w:val="22"/>
        </w:rPr>
        <w:t>ного отношения;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t>ν1 = g–</w:t>
      </w:r>
      <w:r w:rsidRPr="00B93778">
        <w:rPr>
          <w:rFonts w:ascii="Verdana" w:hAnsi="Verdana"/>
          <w:kern w:val="26"/>
          <w:sz w:val="22"/>
          <w:szCs w:val="22"/>
        </w:rPr>
        <w:t>1 – первое число степеней свободы, равное числу классов перв</w:t>
      </w:r>
      <w:r w:rsidRPr="00B93778">
        <w:rPr>
          <w:rFonts w:ascii="Verdana" w:hAnsi="Verdana"/>
          <w:kern w:val="26"/>
          <w:sz w:val="22"/>
          <w:szCs w:val="22"/>
        </w:rPr>
        <w:t>о</w:t>
      </w:r>
      <w:r w:rsidRPr="00B93778">
        <w:rPr>
          <w:rFonts w:ascii="Verdana" w:hAnsi="Verdana"/>
          <w:kern w:val="26"/>
          <w:sz w:val="22"/>
          <w:szCs w:val="22"/>
        </w:rPr>
        <w:t>го признака без одного;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t>ν2 = N–g</w:t>
      </w:r>
      <w:r w:rsidRPr="00B93778">
        <w:rPr>
          <w:rFonts w:ascii="Verdana" w:hAnsi="Verdana"/>
          <w:kern w:val="26"/>
          <w:sz w:val="22"/>
          <w:szCs w:val="22"/>
        </w:rPr>
        <w:t xml:space="preserve"> – второе число степеней свободы, равное объему корреляцио</w:t>
      </w:r>
      <w:r w:rsidRPr="00B93778">
        <w:rPr>
          <w:rFonts w:ascii="Verdana" w:hAnsi="Verdana"/>
          <w:kern w:val="26"/>
          <w:sz w:val="22"/>
          <w:szCs w:val="22"/>
        </w:rPr>
        <w:t>н</w:t>
      </w:r>
      <w:r w:rsidRPr="00B93778">
        <w:rPr>
          <w:rFonts w:ascii="Verdana" w:hAnsi="Verdana"/>
          <w:kern w:val="26"/>
          <w:sz w:val="22"/>
          <w:szCs w:val="22"/>
        </w:rPr>
        <w:t>ной решетки минус число классов первого признака;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object w:dxaOrig="1140" w:dyaOrig="400">
          <v:shape id="_x0000_i1073" type="#_x0000_t75" style="width:76.7pt;height:26.2pt" o:ole="">
            <v:imagedata r:id="rId98" o:title=""/>
          </v:shape>
          <o:OLEObject Type="Embed" ProgID="Equation.3" ShapeID="_x0000_i1073" DrawAspect="Content" ObjectID="_1588063485" r:id="rId99"/>
        </w:object>
      </w:r>
      <w:r w:rsidRPr="00B93778">
        <w:rPr>
          <w:rFonts w:ascii="Verdana" w:hAnsi="Verdana"/>
          <w:kern w:val="26"/>
          <w:sz w:val="22"/>
          <w:szCs w:val="22"/>
        </w:rPr>
        <w:t xml:space="preserve"> – погрешность, возможная при оценке генерального знач</w:t>
      </w:r>
      <w:r w:rsidRPr="00B93778">
        <w:rPr>
          <w:rFonts w:ascii="Verdana" w:hAnsi="Verdana"/>
          <w:kern w:val="26"/>
          <w:sz w:val="22"/>
          <w:szCs w:val="22"/>
        </w:rPr>
        <w:t>е</w:t>
      </w:r>
      <w:r w:rsidRPr="00B93778">
        <w:rPr>
          <w:rFonts w:ascii="Verdana" w:hAnsi="Verdana"/>
          <w:kern w:val="26"/>
          <w:sz w:val="22"/>
          <w:szCs w:val="22"/>
        </w:rPr>
        <w:t>ния корреляционного отношения;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proofErr w:type="spellStart"/>
      <w:r w:rsidRPr="00B93778">
        <w:rPr>
          <w:rFonts w:ascii="Verdana" w:hAnsi="Verdana"/>
          <w:i/>
          <w:kern w:val="26"/>
          <w:sz w:val="22"/>
          <w:szCs w:val="22"/>
        </w:rPr>
        <w:t>F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st</w:t>
      </w:r>
      <w:proofErr w:type="spellEnd"/>
      <w:r w:rsidRPr="00B93778">
        <w:rPr>
          <w:rFonts w:ascii="Verdana" w:hAnsi="Verdana"/>
          <w:kern w:val="26"/>
          <w:sz w:val="22"/>
          <w:szCs w:val="22"/>
        </w:rPr>
        <w:t xml:space="preserve"> – стандартные значения преобразованного критерия Фишера для трех порогов вероятности безошибочных прогнозов и для двух степеней свободы.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B93778" w:rsidRDefault="00C63A3F" w:rsidP="00B93778">
      <w:pPr>
        <w:pStyle w:val="HelliRIR"/>
      </w:pPr>
      <w:r w:rsidRPr="00B93778">
        <w:t>Пример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 xml:space="preserve">Получены показатели </w:t>
      </w:r>
      <w:r w:rsidRPr="00B93778">
        <w:rPr>
          <w:rFonts w:ascii="Verdana" w:hAnsi="Verdana"/>
          <w:i/>
          <w:kern w:val="26"/>
          <w:sz w:val="24"/>
          <w:szCs w:val="24"/>
        </w:rPr>
        <w:t>N</w:t>
      </w:r>
      <w:r w:rsidRPr="00B93778">
        <w:rPr>
          <w:rFonts w:ascii="Verdana" w:hAnsi="Verdana"/>
          <w:kern w:val="26"/>
          <w:sz w:val="24"/>
          <w:szCs w:val="24"/>
        </w:rPr>
        <w:t xml:space="preserve"> = 21, </w:t>
      </w:r>
      <w:r w:rsidRPr="00B93778">
        <w:rPr>
          <w:rFonts w:ascii="Verdana" w:hAnsi="Verdana"/>
          <w:i/>
          <w:kern w:val="26"/>
          <w:sz w:val="24"/>
          <w:szCs w:val="24"/>
        </w:rPr>
        <w:t>η</w:t>
      </w:r>
      <w:r w:rsidRPr="00B93778">
        <w:rPr>
          <w:rFonts w:ascii="Verdana" w:hAnsi="Verdana"/>
          <w:i/>
          <w:kern w:val="26"/>
          <w:sz w:val="24"/>
          <w:szCs w:val="24"/>
          <w:vertAlign w:val="superscript"/>
        </w:rPr>
        <w:t>2</w:t>
      </w:r>
      <w:r w:rsidRPr="00B93778">
        <w:rPr>
          <w:rFonts w:ascii="Verdana" w:hAnsi="Verdana"/>
          <w:kern w:val="26"/>
          <w:sz w:val="24"/>
          <w:szCs w:val="24"/>
        </w:rPr>
        <w:t xml:space="preserve"> = 0,76, </w:t>
      </w:r>
      <w:r w:rsidRPr="00B93778">
        <w:rPr>
          <w:rFonts w:ascii="Verdana" w:hAnsi="Verdana"/>
          <w:i/>
          <w:kern w:val="26"/>
          <w:sz w:val="24"/>
          <w:szCs w:val="24"/>
        </w:rPr>
        <w:t>g</w:t>
      </w:r>
      <w:r w:rsidRPr="00B93778">
        <w:rPr>
          <w:rFonts w:ascii="Verdana" w:hAnsi="Verdana"/>
          <w:kern w:val="26"/>
          <w:sz w:val="24"/>
          <w:szCs w:val="24"/>
        </w:rPr>
        <w:t xml:space="preserve"> = 5 (число классов пе</w:t>
      </w:r>
      <w:r w:rsidRPr="00B93778">
        <w:rPr>
          <w:rFonts w:ascii="Verdana" w:hAnsi="Verdana"/>
          <w:kern w:val="26"/>
          <w:sz w:val="24"/>
          <w:szCs w:val="24"/>
        </w:rPr>
        <w:t>р</w:t>
      </w:r>
      <w:r w:rsidRPr="00B93778">
        <w:rPr>
          <w:rFonts w:ascii="Verdana" w:hAnsi="Verdana"/>
          <w:kern w:val="26"/>
          <w:sz w:val="24"/>
          <w:szCs w:val="24"/>
        </w:rPr>
        <w:t>вого признака).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Ошибка репрезентативности квадрата корреляционного отнош</w:t>
      </w:r>
      <w:r w:rsidRPr="00B93778">
        <w:rPr>
          <w:rFonts w:ascii="Verdana" w:hAnsi="Verdana"/>
          <w:kern w:val="26"/>
          <w:sz w:val="24"/>
          <w:szCs w:val="24"/>
        </w:rPr>
        <w:t>е</w:t>
      </w:r>
      <w:r w:rsidRPr="00B93778">
        <w:rPr>
          <w:rFonts w:ascii="Verdana" w:hAnsi="Verdana"/>
          <w:kern w:val="26"/>
          <w:sz w:val="24"/>
          <w:szCs w:val="24"/>
        </w:rPr>
        <w:t>ния:</w:t>
      </w:r>
    </w:p>
    <w:p w:rsidR="00C63A3F" w:rsidRPr="00B93778" w:rsidRDefault="00C63A3F" w:rsidP="0065682A">
      <w:pPr>
        <w:pStyle w:val="HellyRIR3"/>
        <w:widowControl/>
        <w:ind w:firstLine="0"/>
        <w:jc w:val="center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object w:dxaOrig="2840" w:dyaOrig="620">
          <v:shape id="_x0000_i1074" type="#_x0000_t75" style="width:157.1pt;height:34.6pt" o:ole="">
            <v:imagedata r:id="rId100" o:title=""/>
          </v:shape>
          <o:OLEObject Type="Embed" ProgID="Equation.3" ShapeID="_x0000_i1074" DrawAspect="Content" ObjectID="_1588063486" r:id="rId101"/>
        </w:objec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Критерий достоверности: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 xml:space="preserve">F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= 0,75/0.06 = 12,7</w:t>
      </w:r>
      <w:r w:rsidRPr="00B93778">
        <w:rPr>
          <w:rFonts w:ascii="Verdana" w:hAnsi="Verdana"/>
          <w:kern w:val="26"/>
          <w:sz w:val="24"/>
          <w:szCs w:val="24"/>
        </w:rPr>
        <w:t>;</w:t>
      </w:r>
      <w:r w:rsidRPr="00B93778">
        <w:rPr>
          <w:rFonts w:ascii="Verdana" w:hAnsi="Verdana"/>
          <w:kern w:val="26"/>
          <w:sz w:val="24"/>
          <w:szCs w:val="24"/>
        </w:rPr>
        <w:tab/>
      </w:r>
      <w:r w:rsidRPr="00B93778">
        <w:rPr>
          <w:rFonts w:ascii="Verdana" w:hAnsi="Verdana"/>
          <w:i/>
          <w:kern w:val="26"/>
          <w:sz w:val="24"/>
          <w:szCs w:val="24"/>
        </w:rPr>
        <w:t>ν</w:t>
      </w:r>
      <w:r w:rsidRPr="0065682A">
        <w:rPr>
          <w:rFonts w:ascii="Verdana" w:hAnsi="Verdana"/>
          <w:i/>
          <w:kern w:val="26"/>
          <w:sz w:val="24"/>
          <w:szCs w:val="24"/>
          <w:vertAlign w:val="subscript"/>
        </w:rPr>
        <w:t>1</w:t>
      </w:r>
      <w:r w:rsidRPr="00B93778">
        <w:rPr>
          <w:rFonts w:ascii="Verdana" w:hAnsi="Verdana"/>
          <w:i/>
          <w:kern w:val="26"/>
          <w:sz w:val="24"/>
          <w:szCs w:val="24"/>
        </w:rPr>
        <w:t xml:space="preserve">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= 5–1 = 4</w:t>
      </w:r>
      <w:r w:rsidRPr="00B93778">
        <w:rPr>
          <w:rFonts w:ascii="Verdana" w:hAnsi="Verdana"/>
          <w:kern w:val="26"/>
          <w:sz w:val="24"/>
          <w:szCs w:val="24"/>
        </w:rPr>
        <w:t>;</w:t>
      </w:r>
      <w:r w:rsidRPr="00B93778">
        <w:rPr>
          <w:rFonts w:ascii="Verdana" w:hAnsi="Verdana"/>
          <w:kern w:val="26"/>
          <w:sz w:val="24"/>
          <w:szCs w:val="24"/>
        </w:rPr>
        <w:tab/>
      </w:r>
      <w:r w:rsidRPr="00B93778">
        <w:rPr>
          <w:rFonts w:ascii="Verdana" w:hAnsi="Verdana"/>
          <w:i/>
          <w:kern w:val="26"/>
          <w:sz w:val="24"/>
          <w:szCs w:val="24"/>
        </w:rPr>
        <w:t>ν</w:t>
      </w:r>
      <w:r w:rsidRPr="0065682A">
        <w:rPr>
          <w:rFonts w:ascii="Verdana" w:hAnsi="Verdana"/>
          <w:i/>
          <w:kern w:val="26"/>
          <w:sz w:val="24"/>
          <w:szCs w:val="24"/>
          <w:vertAlign w:val="subscript"/>
        </w:rPr>
        <w:t>2</w:t>
      </w:r>
      <w:r w:rsidRPr="00B93778">
        <w:rPr>
          <w:rFonts w:ascii="Verdana" w:hAnsi="Verdana"/>
          <w:i/>
          <w:kern w:val="26"/>
          <w:sz w:val="24"/>
          <w:szCs w:val="24"/>
        </w:rPr>
        <w:t xml:space="preserve"> </w:t>
      </w: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 xml:space="preserve">=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21–5 = 16</w:t>
      </w:r>
      <w:r w:rsidRPr="00B93778">
        <w:rPr>
          <w:rFonts w:ascii="Verdana" w:hAnsi="Verdana"/>
          <w:kern w:val="26"/>
          <w:sz w:val="24"/>
          <w:szCs w:val="24"/>
        </w:rPr>
        <w:t>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proofErr w:type="spellStart"/>
      <w:r w:rsidRPr="00B93778">
        <w:rPr>
          <w:rFonts w:ascii="Verdana" w:hAnsi="Verdana"/>
          <w:i/>
          <w:kern w:val="26"/>
          <w:sz w:val="24"/>
          <w:szCs w:val="24"/>
        </w:rPr>
        <w:t>F</w:t>
      </w:r>
      <w:r w:rsidRPr="0065682A">
        <w:rPr>
          <w:rFonts w:ascii="Verdana" w:hAnsi="Verdana"/>
          <w:i/>
          <w:kern w:val="26"/>
          <w:sz w:val="24"/>
          <w:szCs w:val="24"/>
          <w:vertAlign w:val="subscript"/>
        </w:rPr>
        <w:t>st</w:t>
      </w:r>
      <w:proofErr w:type="spellEnd"/>
      <w:r w:rsidRPr="00B93778">
        <w:rPr>
          <w:rFonts w:ascii="Verdana" w:hAnsi="Verdana"/>
          <w:kern w:val="26"/>
          <w:sz w:val="24"/>
          <w:szCs w:val="24"/>
        </w:rPr>
        <w:t xml:space="preserve"> = (3,0–4,8–7,9).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Возможная погрешность в оценке генерального параметра: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object w:dxaOrig="2860" w:dyaOrig="440">
          <v:shape id="_x0000_i1075" type="#_x0000_t75" style="width:184.2pt;height:28.05pt" o:ole="">
            <v:imagedata r:id="rId102" o:title=""/>
          </v:shape>
          <o:OLEObject Type="Embed" ProgID="Equation.3" ShapeID="_x0000_i1075" DrawAspect="Content" ObjectID="_1588063487" r:id="rId103"/>
        </w:object>
      </w:r>
      <w:r w:rsidRPr="00B93778">
        <w:rPr>
          <w:rFonts w:ascii="Verdana" w:hAnsi="Verdana"/>
          <w:kern w:val="26"/>
          <w:sz w:val="24"/>
          <w:szCs w:val="24"/>
        </w:rPr>
        <w:t>.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Доверительные границы квадрата корреляционного отношения: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>η</w:t>
      </w:r>
      <w:r w:rsidRPr="0065682A">
        <w:rPr>
          <w:rStyle w:val="HellyRIR2"/>
          <w:rFonts w:ascii="Verdana" w:hAnsi="Verdana"/>
          <w:i/>
          <w:kern w:val="26"/>
          <w:sz w:val="24"/>
          <w:szCs w:val="24"/>
          <w:vertAlign w:val="superscript"/>
        </w:rPr>
        <w:t>2</w:t>
      </w: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 xml:space="preserve"> =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0,76 ± 0,18</w:t>
      </w:r>
      <w:r w:rsidRPr="00B93778">
        <w:rPr>
          <w:rStyle w:val="HellyRIR4"/>
          <w:rFonts w:ascii="Verdana" w:hAnsi="Verdana"/>
          <w:kern w:val="26"/>
          <w:sz w:val="24"/>
          <w:szCs w:val="24"/>
        </w:rPr>
        <w:t xml:space="preserve"> </w:t>
      </w:r>
      <w:r w:rsidRPr="00B93778">
        <w:rPr>
          <w:rFonts w:ascii="Verdana" w:hAnsi="Verdana"/>
          <w:kern w:val="26"/>
          <w:sz w:val="24"/>
          <w:szCs w:val="24"/>
        </w:rPr>
        <w:t>не более</w:t>
      </w:r>
      <w:r w:rsidRPr="00B93778">
        <w:rPr>
          <w:rStyle w:val="HellyRIR4"/>
          <w:rFonts w:ascii="Verdana" w:hAnsi="Verdana"/>
          <w:kern w:val="26"/>
          <w:sz w:val="24"/>
          <w:szCs w:val="24"/>
        </w:rPr>
        <w:t xml:space="preserve">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0,76 + 0,18 = 0,94</w:t>
      </w:r>
      <w:r w:rsidRPr="00B93778">
        <w:rPr>
          <w:rFonts w:ascii="Verdana" w:hAnsi="Verdana"/>
          <w:kern w:val="26"/>
          <w:sz w:val="24"/>
          <w:szCs w:val="24"/>
        </w:rPr>
        <w:t xml:space="preserve">; </w:t>
      </w:r>
    </w:p>
    <w:p w:rsidR="00C63A3F" w:rsidRPr="00B93778" w:rsidRDefault="00C63A3F" w:rsidP="0065682A">
      <w:pPr>
        <w:pStyle w:val="HellyRIR3"/>
        <w:widowControl/>
        <w:ind w:left="2831" w:firstLine="1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 xml:space="preserve">не менее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0,76 – 0,18 = 0,58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Доверительные границы корреляционного отношения: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i/>
          <w:kern w:val="26"/>
          <w:sz w:val="24"/>
          <w:szCs w:val="24"/>
        </w:rPr>
        <w:t xml:space="preserve">η </w:t>
      </w:r>
      <w:r w:rsidRPr="00B93778">
        <w:rPr>
          <w:rFonts w:ascii="Verdana" w:hAnsi="Verdana"/>
          <w:kern w:val="26"/>
          <w:sz w:val="24"/>
          <w:szCs w:val="24"/>
        </w:rPr>
        <w:t>= (</w:t>
      </w:r>
      <w:r w:rsidRPr="00B93778">
        <w:rPr>
          <w:rFonts w:ascii="Verdana" w:hAnsi="Verdana"/>
          <w:kern w:val="26"/>
          <w:sz w:val="24"/>
          <w:szCs w:val="24"/>
        </w:rPr>
        <w:object w:dxaOrig="660" w:dyaOrig="360">
          <v:shape id="_x0000_i1076" type="#_x0000_t75" style="width:38.35pt;height:20.55pt" o:ole="">
            <v:imagedata r:id="rId104" o:title=""/>
          </v:shape>
          <o:OLEObject Type="Embed" ProgID="Equation.3" ShapeID="_x0000_i1076" DrawAspect="Content" ObjectID="_1588063488" r:id="rId105"/>
        </w:object>
      </w:r>
      <w:r w:rsidRPr="00B93778">
        <w:rPr>
          <w:rFonts w:ascii="Verdana" w:hAnsi="Verdana"/>
          <w:kern w:val="26"/>
          <w:sz w:val="24"/>
          <w:szCs w:val="24"/>
        </w:rPr>
        <w:t>–</w:t>
      </w:r>
      <w:r w:rsidRPr="00B93778">
        <w:rPr>
          <w:rFonts w:ascii="Verdana" w:hAnsi="Verdana"/>
          <w:kern w:val="26"/>
          <w:sz w:val="24"/>
          <w:szCs w:val="24"/>
        </w:rPr>
        <w:object w:dxaOrig="680" w:dyaOrig="360">
          <v:shape id="_x0000_i1077" type="#_x0000_t75" style="width:38.35pt;height:19.65pt" o:ole="">
            <v:imagedata r:id="rId106" o:title=""/>
          </v:shape>
          <o:OLEObject Type="Embed" ProgID="Equation.3" ShapeID="_x0000_i1077" DrawAspect="Content" ObjectID="_1588063489" r:id="rId107"/>
        </w:object>
      </w:r>
      <w:r w:rsidRPr="00B93778">
        <w:rPr>
          <w:rFonts w:ascii="Verdana" w:hAnsi="Verdana"/>
          <w:kern w:val="26"/>
          <w:sz w:val="24"/>
          <w:szCs w:val="24"/>
        </w:rPr>
        <w:t>) = (0,76 – 0,97).</w:t>
      </w:r>
    </w:p>
    <w:p w:rsidR="0065682A" w:rsidRDefault="0065682A" w:rsidP="0065682A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bookmarkStart w:id="15" w:name="_Toc230016312"/>
      <w:bookmarkStart w:id="16" w:name="_Toc241211411"/>
      <w:bookmarkStart w:id="17" w:name="_Toc243926759"/>
    </w:p>
    <w:p w:rsidR="00C63A3F" w:rsidRPr="00CF182F" w:rsidRDefault="0065682A" w:rsidP="0065682A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4 </w:t>
      </w:r>
      <w:r w:rsidR="00C63A3F" w:rsidRPr="00CF182F">
        <w:rPr>
          <w:rFonts w:ascii="Verdana" w:hAnsi="Verdana"/>
          <w:kern w:val="26"/>
          <w:sz w:val="26"/>
          <w:szCs w:val="26"/>
        </w:rPr>
        <w:t>Критерий линейности корреляции</w:t>
      </w:r>
      <w:bookmarkEnd w:id="15"/>
      <w:bookmarkEnd w:id="16"/>
      <w:bookmarkEnd w:id="17"/>
    </w:p>
    <w:p w:rsidR="0065682A" w:rsidRDefault="0065682A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Для определения степени приближения криволинейной зав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симости к прямолинейной используется критерий F, вычисляемый по формуле:</w:t>
      </w:r>
    </w:p>
    <w:p w:rsidR="0065682A" w:rsidRDefault="00C63A3F" w:rsidP="0065682A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160" w:dyaOrig="780">
          <v:shape id="_x0000_i1078" type="#_x0000_t75" style="width:116.9pt;height:42.1pt" o:ole="">
            <v:imagedata r:id="rId108" o:title=""/>
          </v:shape>
          <o:OLEObject Type="Embed" ProgID="Equation.3" ShapeID="_x0000_i1078" DrawAspect="Content" ObjectID="_1588063490" r:id="rId109"/>
        </w:object>
      </w:r>
    </w:p>
    <w:p w:rsidR="00C63A3F" w:rsidRPr="0065682A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65682A">
        <w:rPr>
          <w:rFonts w:ascii="Verdana" w:hAnsi="Verdana"/>
          <w:kern w:val="26"/>
          <w:sz w:val="22"/>
          <w:szCs w:val="22"/>
        </w:rPr>
        <w:t>где: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i/>
          <w:kern w:val="26"/>
          <w:sz w:val="22"/>
          <w:szCs w:val="22"/>
        </w:rPr>
        <w:t>η</w:t>
      </w:r>
      <w:r w:rsidRPr="0065682A">
        <w:rPr>
          <w:rFonts w:ascii="Verdana" w:hAnsi="Verdana"/>
          <w:i/>
          <w:kern w:val="26"/>
          <w:sz w:val="22"/>
          <w:szCs w:val="22"/>
          <w:vertAlign w:val="superscript"/>
        </w:rPr>
        <w:t>2</w:t>
      </w:r>
      <w:r w:rsidRPr="0065682A">
        <w:rPr>
          <w:rFonts w:ascii="Verdana" w:hAnsi="Verdana"/>
          <w:i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kern w:val="26"/>
          <w:sz w:val="22"/>
          <w:szCs w:val="22"/>
        </w:rPr>
        <w:t xml:space="preserve">– квадрат корреляционного отношения </w:t>
      </w:r>
      <w:r w:rsidRPr="0065682A">
        <w:rPr>
          <w:rFonts w:ascii="Verdana" w:hAnsi="Verdana"/>
          <w:i/>
          <w:kern w:val="26"/>
          <w:sz w:val="22"/>
          <w:szCs w:val="22"/>
        </w:rPr>
        <w:t>Y</w:t>
      </w:r>
      <w:r w:rsidRPr="0065682A">
        <w:rPr>
          <w:rFonts w:ascii="Verdana" w:hAnsi="Verdana"/>
          <w:kern w:val="26"/>
          <w:sz w:val="22"/>
          <w:szCs w:val="22"/>
        </w:rPr>
        <w:t xml:space="preserve"> по </w:t>
      </w:r>
      <w:r w:rsidRPr="0065682A">
        <w:rPr>
          <w:rFonts w:ascii="Verdana" w:hAnsi="Verdana"/>
          <w:i/>
          <w:kern w:val="26"/>
          <w:sz w:val="22"/>
          <w:szCs w:val="22"/>
        </w:rPr>
        <w:t>Х</w:t>
      </w:r>
      <w:r w:rsidRPr="0065682A">
        <w:rPr>
          <w:rFonts w:ascii="Verdana" w:hAnsi="Verdana"/>
          <w:kern w:val="26"/>
          <w:sz w:val="22"/>
          <w:szCs w:val="22"/>
        </w:rPr>
        <w:t>;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i/>
          <w:kern w:val="26"/>
          <w:sz w:val="22"/>
          <w:szCs w:val="22"/>
        </w:rPr>
        <w:t>r</w:t>
      </w:r>
      <w:r w:rsidRPr="0065682A">
        <w:rPr>
          <w:rFonts w:ascii="Verdana" w:hAnsi="Verdana"/>
          <w:i/>
          <w:kern w:val="26"/>
          <w:sz w:val="22"/>
          <w:szCs w:val="22"/>
          <w:vertAlign w:val="superscript"/>
        </w:rPr>
        <w:t>2</w:t>
      </w:r>
      <w:r w:rsidRPr="0065682A">
        <w:rPr>
          <w:rFonts w:ascii="Verdana" w:hAnsi="Verdana"/>
          <w:i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kern w:val="26"/>
          <w:sz w:val="22"/>
          <w:szCs w:val="22"/>
        </w:rPr>
        <w:t>– квадрат коэ</w:t>
      </w:r>
      <w:r w:rsidRPr="0065682A">
        <w:rPr>
          <w:rFonts w:ascii="Verdana" w:hAnsi="Verdana"/>
          <w:kern w:val="26"/>
          <w:sz w:val="22"/>
          <w:szCs w:val="22"/>
        </w:rPr>
        <w:t>ф</w:t>
      </w:r>
      <w:r w:rsidRPr="0065682A">
        <w:rPr>
          <w:rFonts w:ascii="Verdana" w:hAnsi="Verdana"/>
          <w:kern w:val="26"/>
          <w:sz w:val="22"/>
          <w:szCs w:val="22"/>
        </w:rPr>
        <w:t>фициента линейной корреляции;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i/>
          <w:kern w:val="26"/>
          <w:sz w:val="22"/>
          <w:szCs w:val="22"/>
        </w:rPr>
        <w:t>n –</w:t>
      </w:r>
      <w:r w:rsidRPr="0065682A">
        <w:rPr>
          <w:rFonts w:ascii="Verdana" w:hAnsi="Verdana"/>
          <w:kern w:val="26"/>
          <w:sz w:val="22"/>
          <w:szCs w:val="22"/>
        </w:rPr>
        <w:t xml:space="preserve"> объем выборки;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proofErr w:type="spellStart"/>
      <w:r w:rsidRPr="0065682A">
        <w:rPr>
          <w:rFonts w:ascii="Verdana" w:hAnsi="Verdana"/>
          <w:i/>
          <w:kern w:val="26"/>
          <w:sz w:val="22"/>
          <w:szCs w:val="22"/>
        </w:rPr>
        <w:t>k</w:t>
      </w:r>
      <w:r w:rsidRPr="0065682A">
        <w:rPr>
          <w:rFonts w:ascii="Verdana" w:hAnsi="Verdana"/>
          <w:i/>
          <w:kern w:val="26"/>
          <w:sz w:val="22"/>
          <w:szCs w:val="22"/>
          <w:vertAlign w:val="subscript"/>
        </w:rPr>
        <w:t>x</w:t>
      </w:r>
      <w:proofErr w:type="spellEnd"/>
      <w:r w:rsidRPr="0065682A">
        <w:rPr>
          <w:rFonts w:ascii="Verdana" w:hAnsi="Verdana"/>
          <w:i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kern w:val="26"/>
          <w:sz w:val="22"/>
          <w:szCs w:val="22"/>
        </w:rPr>
        <w:t xml:space="preserve">– число групп по ряду </w:t>
      </w:r>
      <w:r w:rsidRPr="0065682A">
        <w:rPr>
          <w:rFonts w:ascii="Verdana" w:hAnsi="Verdana"/>
          <w:i/>
          <w:kern w:val="26"/>
          <w:sz w:val="22"/>
          <w:szCs w:val="22"/>
        </w:rPr>
        <w:t>X</w:t>
      </w:r>
      <w:r w:rsidRPr="0065682A">
        <w:rPr>
          <w:rFonts w:ascii="Verdana" w:hAnsi="Verdana"/>
          <w:kern w:val="26"/>
          <w:sz w:val="22"/>
          <w:szCs w:val="22"/>
        </w:rPr>
        <w:t>.</w:t>
      </w:r>
    </w:p>
    <w:p w:rsidR="0065682A" w:rsidRDefault="0065682A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proofErr w:type="gramStart"/>
      <w:r w:rsidRPr="00CF182F">
        <w:rPr>
          <w:rFonts w:ascii="Verdana" w:hAnsi="Verdana"/>
          <w:kern w:val="26"/>
          <w:sz w:val="26"/>
          <w:szCs w:val="26"/>
        </w:rPr>
        <w:t>Связь можно практически принять за линейную, если</w:t>
      </w:r>
      <w:r w:rsidRPr="00CF182F">
        <w:rPr>
          <w:rFonts w:ascii="Verdana" w:hAnsi="Verdana"/>
          <w:kern w:val="26"/>
          <w:sz w:val="26"/>
          <w:szCs w:val="26"/>
        </w:rPr>
        <w:br/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факт</w:t>
      </w:r>
      <w:proofErr w:type="spellEnd"/>
      <w:r w:rsidRPr="00CF182F">
        <w:rPr>
          <w:rFonts w:ascii="Verdana" w:hAnsi="Verdana"/>
          <w:i/>
          <w:kern w:val="26"/>
          <w:sz w:val="26"/>
          <w:szCs w:val="26"/>
        </w:rPr>
        <w:t xml:space="preserve"> &lt; </w:t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теор</w:t>
      </w:r>
      <w:proofErr w:type="spellEnd"/>
      <w:r w:rsidRPr="00CF182F">
        <w:rPr>
          <w:rFonts w:ascii="Verdana" w:hAnsi="Verdana"/>
          <w:kern w:val="26"/>
          <w:sz w:val="26"/>
          <w:szCs w:val="26"/>
        </w:rPr>
        <w:t>, и определять показатели для прямолинейной коррел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>ции и регрессии.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Корреляция нелинейная, если </w:t>
      </w:r>
      <w:proofErr w:type="spellStart"/>
      <w:proofErr w:type="gram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proofErr w:type="gramEnd"/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факт</w:t>
      </w:r>
      <w:proofErr w:type="spellEnd"/>
      <w:r w:rsidRPr="00CF182F">
        <w:rPr>
          <w:rFonts w:ascii="Verdana" w:hAnsi="Verdana"/>
          <w:i/>
          <w:kern w:val="26"/>
          <w:sz w:val="26"/>
          <w:szCs w:val="26"/>
        </w:rPr>
        <w:t xml:space="preserve"> ≥ </w:t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теор</w:t>
      </w:r>
      <w:proofErr w:type="spellEnd"/>
      <w:r w:rsidRPr="00CF182F">
        <w:rPr>
          <w:rFonts w:ascii="Verdana" w:hAnsi="Verdana"/>
          <w:i/>
          <w:kern w:val="26"/>
          <w:sz w:val="26"/>
          <w:szCs w:val="26"/>
        </w:rPr>
        <w:t>.</w:t>
      </w:r>
      <w:r w:rsidRPr="00CF182F">
        <w:rPr>
          <w:rFonts w:ascii="Verdana" w:hAnsi="Verdana"/>
          <w:kern w:val="26"/>
          <w:sz w:val="26"/>
          <w:szCs w:val="26"/>
        </w:rPr>
        <w:t xml:space="preserve"> Теор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 xml:space="preserve">тические значения </w:t>
      </w:r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CF182F">
        <w:rPr>
          <w:rFonts w:ascii="Verdana" w:hAnsi="Verdana"/>
          <w:kern w:val="26"/>
          <w:sz w:val="26"/>
          <w:szCs w:val="26"/>
        </w:rPr>
        <w:t xml:space="preserve"> берутся из таблицы приложений для</w:t>
      </w:r>
      <w:r w:rsidR="0065682A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ν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1</w:t>
      </w:r>
      <w:r w:rsidRPr="00CF182F">
        <w:rPr>
          <w:rFonts w:ascii="Verdana" w:hAnsi="Verdana"/>
          <w:kern w:val="26"/>
          <w:sz w:val="26"/>
          <w:szCs w:val="26"/>
        </w:rPr>
        <w:t xml:space="preserve"> = </w:t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kx</w:t>
      </w:r>
      <w:proofErr w:type="spellEnd"/>
      <w:r w:rsidRPr="00CF182F">
        <w:rPr>
          <w:rFonts w:ascii="Verdana" w:hAnsi="Verdana"/>
          <w:kern w:val="26"/>
          <w:sz w:val="26"/>
          <w:szCs w:val="26"/>
        </w:rPr>
        <w:t xml:space="preserve"> – 2 и </w:t>
      </w:r>
      <w:r w:rsidRPr="00CF182F">
        <w:rPr>
          <w:rFonts w:ascii="Verdana" w:hAnsi="Verdana"/>
          <w:i/>
          <w:kern w:val="26"/>
          <w:sz w:val="26"/>
          <w:szCs w:val="26"/>
        </w:rPr>
        <w:t>ν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2</w:t>
      </w:r>
      <w:r w:rsidRPr="00CF182F">
        <w:rPr>
          <w:rFonts w:ascii="Verdana" w:hAnsi="Verdana"/>
          <w:i/>
          <w:kern w:val="26"/>
          <w:sz w:val="26"/>
          <w:szCs w:val="26"/>
        </w:rPr>
        <w:t xml:space="preserve"> = n</w:t>
      </w:r>
      <w:r w:rsidRPr="00CF182F">
        <w:rPr>
          <w:rFonts w:ascii="Verdana" w:hAnsi="Verdana"/>
          <w:kern w:val="26"/>
          <w:sz w:val="26"/>
          <w:szCs w:val="26"/>
        </w:rPr>
        <w:t xml:space="preserve"> – 2 степеней свободы.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Криволинейные зависимости между двумя переменными могут быть выражены в виде кривых линий регрессии и соответствующих им математических уравнений. Эмпирические точки поля регрессии при криволинейной корреляции располагаются около кривых ра</w:t>
      </w:r>
      <w:r w:rsidRPr="00CF182F">
        <w:rPr>
          <w:rFonts w:ascii="Verdana" w:hAnsi="Verdana"/>
          <w:kern w:val="26"/>
          <w:sz w:val="26"/>
          <w:szCs w:val="26"/>
        </w:rPr>
        <w:t>з</w:t>
      </w:r>
      <w:r w:rsidRPr="00CF182F">
        <w:rPr>
          <w:rFonts w:ascii="Verdana" w:hAnsi="Verdana"/>
          <w:kern w:val="26"/>
          <w:sz w:val="26"/>
          <w:szCs w:val="26"/>
        </w:rPr>
        <w:t>личного типа – парабол, гипербол, логарифмических кривых и т. п.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В общем случае все линии регрессии </w:t>
      </w:r>
      <w:proofErr w:type="gramStart"/>
      <w:r w:rsidRPr="00CF182F">
        <w:rPr>
          <w:rFonts w:ascii="Verdana" w:hAnsi="Verdana"/>
          <w:kern w:val="26"/>
          <w:sz w:val="26"/>
          <w:szCs w:val="26"/>
        </w:rPr>
        <w:t>являются кривыми и рассматриваемая нами ранее линейная регрессия является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пр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стейшей зависимостью между двумя признаками.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Основной метод построения математических уравнений: по</w:t>
      </w:r>
      <w:r w:rsidRPr="00CF182F">
        <w:rPr>
          <w:rFonts w:ascii="Verdana" w:hAnsi="Verdana"/>
          <w:kern w:val="26"/>
          <w:sz w:val="26"/>
          <w:szCs w:val="26"/>
        </w:rPr>
        <w:t>д</w:t>
      </w:r>
      <w:r w:rsidRPr="00CF182F">
        <w:rPr>
          <w:rFonts w:ascii="Verdana" w:hAnsi="Verdana"/>
          <w:kern w:val="26"/>
          <w:sz w:val="26"/>
          <w:szCs w:val="26"/>
        </w:rPr>
        <w:t>бор типа формулы и нахождение коэффициента к ней.</w:t>
      </w:r>
      <w:r w:rsidR="0065682A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kern w:val="26"/>
          <w:sz w:val="26"/>
          <w:szCs w:val="26"/>
        </w:rPr>
        <w:t>Статистич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ская обработка экспериментального материала часто приводит к полиному второй степени:</w:t>
      </w:r>
    </w:p>
    <w:p w:rsidR="0079493E" w:rsidRPr="00CF182F" w:rsidRDefault="00C63A3F" w:rsidP="0065682A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980" w:dyaOrig="320">
          <v:shape id="_x0000_i1079" type="#_x0000_t75" style="width:121.55pt;height:19.65pt" o:ole="">
            <v:imagedata r:id="rId110" o:title=""/>
          </v:shape>
          <o:OLEObject Type="Embed" ProgID="Equation.3" ShapeID="_x0000_i1079" DrawAspect="Content" ObjectID="_1588063491" r:id="rId111"/>
        </w:object>
      </w:r>
    </w:p>
    <w:sectPr w:rsidR="0079493E" w:rsidRPr="00CF182F" w:rsidSect="003C6C97">
      <w:footerReference w:type="default" r:id="rId112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79" w:rsidRDefault="000A4D79" w:rsidP="00C63A3F">
      <w:pPr>
        <w:spacing w:line="240" w:lineRule="auto"/>
      </w:pPr>
      <w:r>
        <w:separator/>
      </w:r>
    </w:p>
  </w:endnote>
  <w:endnote w:type="continuationSeparator" w:id="0">
    <w:p w:rsidR="000A4D79" w:rsidRDefault="000A4D79" w:rsidP="00C63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485"/>
      <w:docPartObj>
        <w:docPartGallery w:val="Page Numbers (Bottom of Page)"/>
        <w:docPartUnique/>
      </w:docPartObj>
    </w:sdtPr>
    <w:sdtContent>
      <w:p w:rsidR="00C63A3F" w:rsidRDefault="00D81315">
        <w:pPr>
          <w:pStyle w:val="a5"/>
          <w:jc w:val="center"/>
        </w:pPr>
        <w:r>
          <w:fldChar w:fldCharType="begin"/>
        </w:r>
        <w:r w:rsidR="00CE77C2">
          <w:instrText xml:space="preserve"> PAGE   \* MERGEFORMAT </w:instrText>
        </w:r>
        <w:r>
          <w:fldChar w:fldCharType="separate"/>
        </w:r>
        <w:r w:rsidR="003C6C97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C63A3F" w:rsidRDefault="00C63A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79" w:rsidRDefault="000A4D79" w:rsidP="00C63A3F">
      <w:pPr>
        <w:spacing w:line="240" w:lineRule="auto"/>
      </w:pPr>
      <w:r>
        <w:separator/>
      </w:r>
    </w:p>
  </w:footnote>
  <w:footnote w:type="continuationSeparator" w:id="0">
    <w:p w:rsidR="000A4D79" w:rsidRDefault="000A4D79" w:rsidP="00C63A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5DA"/>
    <w:multiLevelType w:val="hybridMultilevel"/>
    <w:tmpl w:val="F5845FE6"/>
    <w:lvl w:ilvl="0" w:tplc="18B659A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F07EC1"/>
    <w:multiLevelType w:val="multilevel"/>
    <w:tmpl w:val="3B6C0896"/>
    <w:lvl w:ilvl="0">
      <w:start w:val="1"/>
      <w:numFmt w:val="decimal"/>
      <w:lvlText w:val="ТЕМА %1"/>
      <w:lvlJc w:val="left"/>
      <w:pPr>
        <w:tabs>
          <w:tab w:val="num" w:pos="2122"/>
        </w:tabs>
        <w:ind w:left="0" w:firstLine="357"/>
      </w:pPr>
      <w:rPr>
        <w:rFonts w:hint="default"/>
        <w:sz w:val="30"/>
        <w:szCs w:val="30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1413"/>
        </w:tabs>
        <w:ind w:left="-33" w:firstLine="390"/>
      </w:pPr>
      <w:rPr>
        <w:rFonts w:hint="default"/>
        <w:sz w:val="30"/>
        <w:szCs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5"/>
        </w:tabs>
        <w:ind w:left="-33" w:firstLine="39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1"/>
        </w:tabs>
        <w:ind w:left="330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A3F"/>
    <w:rsid w:val="00010F55"/>
    <w:rsid w:val="000A4D79"/>
    <w:rsid w:val="000F602A"/>
    <w:rsid w:val="00301765"/>
    <w:rsid w:val="003C6C97"/>
    <w:rsid w:val="004516C7"/>
    <w:rsid w:val="0065682A"/>
    <w:rsid w:val="0079493E"/>
    <w:rsid w:val="008E6323"/>
    <w:rsid w:val="00A640A7"/>
    <w:rsid w:val="00AA1136"/>
    <w:rsid w:val="00B43EE5"/>
    <w:rsid w:val="00B93778"/>
    <w:rsid w:val="00BD134A"/>
    <w:rsid w:val="00C63A3F"/>
    <w:rsid w:val="00CE77C2"/>
    <w:rsid w:val="00CF182F"/>
    <w:rsid w:val="00D81315"/>
    <w:rsid w:val="00DA23C4"/>
    <w:rsid w:val="00FF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F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HellyRIR"/>
    <w:next w:val="HellyRIR"/>
    <w:link w:val="20"/>
    <w:autoRedefine/>
    <w:qFormat/>
    <w:rsid w:val="00C63A3F"/>
    <w:pPr>
      <w:widowControl/>
      <w:numPr>
        <w:ilvl w:val="1"/>
        <w:numId w:val="1"/>
      </w:numPr>
      <w:tabs>
        <w:tab w:val="clear" w:pos="1413"/>
        <w:tab w:val="num" w:pos="360"/>
      </w:tabs>
      <w:suppressAutoHyphens/>
      <w:spacing w:before="240" w:after="240"/>
      <w:ind w:left="0" w:firstLine="357"/>
      <w:jc w:val="left"/>
      <w:outlineLvl w:val="1"/>
    </w:pPr>
    <w:rPr>
      <w:b/>
      <w:bCs w:val="0"/>
      <w:i w:val="0"/>
      <w:iCs w:val="0"/>
      <w:sz w:val="32"/>
      <w:lang w:val="ru-RU"/>
    </w:rPr>
  </w:style>
  <w:style w:type="paragraph" w:styleId="3">
    <w:name w:val="heading 3"/>
    <w:basedOn w:val="HellyRIR"/>
    <w:next w:val="HellyRIR"/>
    <w:link w:val="30"/>
    <w:autoRedefine/>
    <w:qFormat/>
    <w:rsid w:val="00C63A3F"/>
    <w:pPr>
      <w:keepNext/>
      <w:numPr>
        <w:ilvl w:val="2"/>
        <w:numId w:val="1"/>
      </w:numPr>
      <w:tabs>
        <w:tab w:val="clear" w:pos="1555"/>
        <w:tab w:val="num" w:pos="360"/>
        <w:tab w:val="left" w:pos="1361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 w:val="0"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C63A3F"/>
    <w:pPr>
      <w:keepNext/>
      <w:numPr>
        <w:ilvl w:val="3"/>
        <w:numId w:val="1"/>
      </w:numPr>
      <w:tabs>
        <w:tab w:val="clear" w:pos="1641"/>
        <w:tab w:val="num" w:pos="360"/>
      </w:tabs>
      <w:suppressAutoHyphens/>
      <w:spacing w:before="100" w:beforeAutospacing="1" w:after="100" w:afterAutospacing="1"/>
      <w:ind w:left="0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C63A3F"/>
    <w:pPr>
      <w:numPr>
        <w:ilvl w:val="4"/>
        <w:numId w:val="1"/>
      </w:numPr>
      <w:tabs>
        <w:tab w:val="clear" w:pos="3135"/>
        <w:tab w:val="num" w:pos="360"/>
      </w:tabs>
      <w:spacing w:before="100" w:beforeAutospacing="1" w:after="100" w:afterAutospacing="1"/>
      <w:ind w:left="0" w:firstLine="357"/>
      <w:outlineLvl w:val="4"/>
    </w:pPr>
    <w:rPr>
      <w:bCs w:val="0"/>
      <w:iCs w:val="0"/>
    </w:rPr>
  </w:style>
  <w:style w:type="paragraph" w:styleId="6">
    <w:name w:val="heading 6"/>
    <w:basedOn w:val="a"/>
    <w:next w:val="a"/>
    <w:link w:val="60"/>
    <w:qFormat/>
    <w:rsid w:val="00C63A3F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C63A3F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63A3F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"/>
    <w:next w:val="a"/>
    <w:link w:val="90"/>
    <w:qFormat/>
    <w:rsid w:val="00C63A3F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3A3F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C63A3F"/>
    <w:rPr>
      <w:rFonts w:eastAsia="Times New Roman" w:cs="Times New Roman"/>
      <w:b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rsid w:val="00C63A3F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50">
    <w:name w:val="Заголовок 5 Знак"/>
    <w:basedOn w:val="a0"/>
    <w:link w:val="5"/>
    <w:rsid w:val="00C63A3F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60">
    <w:name w:val="Заголовок 6 Знак"/>
    <w:basedOn w:val="a0"/>
    <w:link w:val="6"/>
    <w:rsid w:val="00C63A3F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63A3F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3A3F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63A3F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C63A3F"/>
    <w:pPr>
      <w:widowControl w:val="0"/>
      <w:ind w:firstLine="357"/>
    </w:pPr>
    <w:rPr>
      <w:rFonts w:eastAsia="Times New Roman" w:cs="Times New Roman"/>
      <w:bCs/>
      <w:i/>
      <w:iCs/>
      <w:sz w:val="30"/>
      <w:szCs w:val="30"/>
      <w:lang w:val="en-US" w:eastAsia="ru-RU"/>
    </w:rPr>
  </w:style>
  <w:style w:type="paragraph" w:customStyle="1" w:styleId="NameofTableRIR">
    <w:name w:val="Name of Table RIR"/>
    <w:basedOn w:val="HellyRIR"/>
    <w:next w:val="HellyRIR"/>
    <w:rsid w:val="00C63A3F"/>
    <w:pPr>
      <w:keepNext/>
      <w:spacing w:before="100" w:beforeAutospacing="1" w:after="100" w:afterAutospacing="1"/>
      <w:ind w:firstLine="0"/>
    </w:pPr>
    <w:rPr>
      <w:lang w:val="ru-RU"/>
    </w:rPr>
  </w:style>
  <w:style w:type="paragraph" w:customStyle="1" w:styleId="StyleofTableRIR">
    <w:name w:val="Style of Table RIR"/>
    <w:basedOn w:val="HellyRIR"/>
    <w:next w:val="HellyRIR"/>
    <w:link w:val="StyleofTableRIR0"/>
    <w:autoRedefine/>
    <w:rsid w:val="00C63A3F"/>
    <w:pPr>
      <w:ind w:left="-89" w:right="-122" w:firstLine="0"/>
      <w:jc w:val="center"/>
    </w:pPr>
    <w:rPr>
      <w:sz w:val="24"/>
    </w:rPr>
  </w:style>
  <w:style w:type="character" w:customStyle="1" w:styleId="HellyRIR1">
    <w:name w:val="Helly RIR Знак1"/>
    <w:link w:val="HellyRIR"/>
    <w:rsid w:val="00C63A3F"/>
    <w:rPr>
      <w:rFonts w:eastAsia="Times New Roman" w:cs="Times New Roman"/>
      <w:bCs/>
      <w:i/>
      <w:iCs/>
      <w:sz w:val="30"/>
      <w:szCs w:val="30"/>
      <w:lang w:val="en-US" w:eastAsia="ru-RU"/>
    </w:rPr>
  </w:style>
  <w:style w:type="paragraph" w:customStyle="1" w:styleId="HellyRIR0">
    <w:name w:val="Helly RIR Курсив"/>
    <w:basedOn w:val="HellyRIR"/>
    <w:link w:val="HellyRIR2"/>
    <w:autoRedefine/>
    <w:rsid w:val="00C63A3F"/>
    <w:rPr>
      <w:i w:val="0"/>
      <w:lang w:val="ru-RU"/>
    </w:rPr>
  </w:style>
  <w:style w:type="character" w:customStyle="1" w:styleId="HellyRIR2">
    <w:name w:val="Helly RIR Курсив Знак"/>
    <w:link w:val="HellyRIR0"/>
    <w:rsid w:val="00C63A3F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11">
    <w:name w:val="Стиль Заголовок 1 + не курсив"/>
    <w:basedOn w:val="1"/>
    <w:autoRedefine/>
    <w:rsid w:val="00CF182F"/>
    <w:pPr>
      <w:keepLines w:val="0"/>
      <w:pageBreakBefore/>
      <w:tabs>
        <w:tab w:val="left" w:pos="1701"/>
      </w:tabs>
      <w:suppressAutoHyphens/>
      <w:spacing w:before="0" w:after="360" w:line="240" w:lineRule="auto"/>
      <w:ind w:firstLine="0"/>
      <w:jc w:val="center"/>
    </w:pPr>
    <w:rPr>
      <w:rFonts w:ascii="Times New Roman" w:eastAsia="Times New Roman" w:hAnsi="Times New Roman" w:cs="Times New Roman"/>
      <w:bCs w:val="0"/>
      <w:iCs/>
      <w:color w:val="auto"/>
      <w:kern w:val="28"/>
      <w:sz w:val="34"/>
      <w:szCs w:val="34"/>
    </w:rPr>
  </w:style>
  <w:style w:type="paragraph" w:customStyle="1" w:styleId="StyleofTableRIR1">
    <w:name w:val="Стиль Style of Table RIR + не курсив"/>
    <w:basedOn w:val="StyleofTableRIR"/>
    <w:link w:val="StyleofTableRIR2"/>
    <w:autoRedefine/>
    <w:rsid w:val="00C63A3F"/>
    <w:rPr>
      <w:bCs w:val="0"/>
      <w:i w:val="0"/>
      <w:iCs w:val="0"/>
      <w:sz w:val="28"/>
    </w:rPr>
  </w:style>
  <w:style w:type="character" w:customStyle="1" w:styleId="StyleofTableRIR0">
    <w:name w:val="Style of Table RIR Знак"/>
    <w:link w:val="StyleofTableRIR"/>
    <w:rsid w:val="00C63A3F"/>
    <w:rPr>
      <w:rFonts w:eastAsia="Times New Roman" w:cs="Times New Roman"/>
      <w:bCs/>
      <w:i/>
      <w:iCs/>
      <w:sz w:val="24"/>
      <w:szCs w:val="30"/>
      <w:lang w:val="en-US" w:eastAsia="ru-RU"/>
    </w:rPr>
  </w:style>
  <w:style w:type="character" w:customStyle="1" w:styleId="StyleofTableRIR2">
    <w:name w:val="Стиль Style of Table RIR + не курсив Знак"/>
    <w:link w:val="StyleofTableRIR1"/>
    <w:rsid w:val="00C63A3F"/>
    <w:rPr>
      <w:rFonts w:eastAsia="Times New Roman" w:cs="Times New Roman"/>
      <w:szCs w:val="30"/>
      <w:lang w:val="en-US" w:eastAsia="ru-RU"/>
    </w:rPr>
  </w:style>
  <w:style w:type="paragraph" w:customStyle="1" w:styleId="HellyRIR3">
    <w:name w:val="Стиль Helly RIR + не курсив"/>
    <w:basedOn w:val="HellyRIR"/>
    <w:link w:val="HellyRIR4"/>
    <w:autoRedefine/>
    <w:rsid w:val="00C63A3F"/>
    <w:rPr>
      <w:bCs w:val="0"/>
      <w:i w:val="0"/>
      <w:iCs w:val="0"/>
      <w:lang w:val="ru-RU"/>
    </w:rPr>
  </w:style>
  <w:style w:type="character" w:customStyle="1" w:styleId="HellyRIR4">
    <w:name w:val="Стиль Helly RIR + не курсив Знак"/>
    <w:link w:val="HellyRIR3"/>
    <w:rsid w:val="00C63A3F"/>
    <w:rPr>
      <w:rFonts w:eastAsia="Times New Roman" w:cs="Times New Roman"/>
      <w:sz w:val="30"/>
      <w:szCs w:val="30"/>
      <w:lang w:eastAsia="ru-RU"/>
    </w:rPr>
  </w:style>
  <w:style w:type="paragraph" w:customStyle="1" w:styleId="HelliRIR">
    <w:name w:val="Стиль Helli RIR Жирный + полужирный"/>
    <w:basedOn w:val="a"/>
    <w:link w:val="HelliRIR0"/>
    <w:autoRedefine/>
    <w:rsid w:val="00B93778"/>
    <w:pPr>
      <w:spacing w:line="240" w:lineRule="auto"/>
      <w:ind w:firstLine="0"/>
      <w:jc w:val="center"/>
    </w:pPr>
    <w:rPr>
      <w:rFonts w:ascii="Verdana" w:hAnsi="Verdana"/>
      <w:b/>
      <w:bCs/>
      <w:kern w:val="26"/>
      <w:szCs w:val="24"/>
      <w:u w:val="single"/>
    </w:rPr>
  </w:style>
  <w:style w:type="character" w:customStyle="1" w:styleId="HelliRIR0">
    <w:name w:val="Стиль Helli RIR Жирный + полужирный Знак"/>
    <w:link w:val="HelliRIR"/>
    <w:rsid w:val="00B93778"/>
    <w:rPr>
      <w:rFonts w:ascii="Verdana" w:eastAsia="Times New Roman" w:hAnsi="Verdana" w:cs="Times New Roman"/>
      <w:b/>
      <w:bCs/>
      <w:kern w:val="26"/>
      <w:sz w:val="24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3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63A3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A3F"/>
    <w:rPr>
      <w:rFonts w:eastAsia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3A3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A3F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customXml" Target="../customXml/item2.xml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fontTable" Target="fontTable.xml"/><Relationship Id="rId118" Type="http://schemas.openxmlformats.org/officeDocument/2006/relationships/customXml" Target="../customXml/item3.xml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microsoft.com/office/2007/relationships/stylesWithEffects" Target="stylesWithEffect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customXml" Target="../customXml/item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7959B-7C32-4606-A465-53345DFB1A55}"/>
</file>

<file path=customXml/itemProps2.xml><?xml version="1.0" encoding="utf-8"?>
<ds:datastoreItem xmlns:ds="http://schemas.openxmlformats.org/officeDocument/2006/customXml" ds:itemID="{E215BA09-DE63-499B-94F2-D60F16837650}"/>
</file>

<file path=customXml/itemProps3.xml><?xml version="1.0" encoding="utf-8"?>
<ds:datastoreItem xmlns:ds="http://schemas.openxmlformats.org/officeDocument/2006/customXml" ds:itemID="{1D723E46-2A8F-4609-A844-2F5B864A3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abaris</cp:lastModifiedBy>
  <cp:revision>10</cp:revision>
  <cp:lastPrinted>2016-10-04T11:04:00Z</cp:lastPrinted>
  <dcterms:created xsi:type="dcterms:W3CDTF">2015-10-28T13:42:00Z</dcterms:created>
  <dcterms:modified xsi:type="dcterms:W3CDTF">2018-05-17T09:57:00Z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